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56" w:rsidRPr="00276016" w:rsidRDefault="00276016" w:rsidP="00276016">
      <w:pPr>
        <w:spacing w:line="276" w:lineRule="auto"/>
        <w:jc w:val="center"/>
        <w:rPr>
          <w:rFonts w:ascii="Bahnschrift" w:hAnsi="Bahnschrift"/>
          <w:b/>
          <w:sz w:val="28"/>
        </w:rPr>
      </w:pPr>
      <w:r w:rsidRPr="00A52E09">
        <w:rPr>
          <w:rFonts w:ascii="Bahnschrift" w:hAnsi="Bahnschrift"/>
          <w:b/>
          <w:sz w:val="28"/>
        </w:rPr>
        <w:t xml:space="preserve">IUT  Montreuil  </w:t>
      </w:r>
      <w:r>
        <w:rPr>
          <w:rFonts w:ascii="Bahnschrift" w:hAnsi="Bahnschrift"/>
          <w:b/>
          <w:sz w:val="28"/>
        </w:rPr>
        <w:t xml:space="preserve">- </w:t>
      </w:r>
      <w:r w:rsidRPr="00A52E09">
        <w:rPr>
          <w:rFonts w:ascii="Bahnschrift" w:hAnsi="Bahnschrift"/>
          <w:b/>
          <w:sz w:val="28"/>
        </w:rPr>
        <w:t xml:space="preserve">Paris,  </w:t>
      </w:r>
      <w:r>
        <w:rPr>
          <w:rFonts w:ascii="Bahnschrift" w:hAnsi="Bahnschrift"/>
          <w:b/>
          <w:sz w:val="28"/>
        </w:rPr>
        <w:t xml:space="preserve">France - </w:t>
      </w:r>
      <w:r w:rsidRPr="00A52E09">
        <w:rPr>
          <w:rFonts w:ascii="Bahnschrift" w:hAnsi="Bahnschrift"/>
          <w:b/>
          <w:sz w:val="28"/>
        </w:rPr>
        <w:t>12 - 14 juin 2019</w:t>
      </w:r>
    </w:p>
    <w:p w:rsidR="00F16D66" w:rsidRDefault="00F16D66" w:rsidP="00B72EB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Workshop</w:t>
      </w:r>
    </w:p>
    <w:p w:rsidR="005B2FAD" w:rsidRPr="00B72EB3" w:rsidRDefault="00A52E09" w:rsidP="00B72EB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Intitulé</w:t>
      </w:r>
      <w:r w:rsidR="00B72EB3">
        <w:rPr>
          <w:rFonts w:ascii="Times New Roman" w:hAnsi="Times New Roman" w:cs="Times New Roman"/>
          <w:b/>
          <w:sz w:val="28"/>
        </w:rPr>
        <w:t xml:space="preserve">: </w:t>
      </w:r>
      <w:r w:rsidR="002F0894" w:rsidRPr="002F0894">
        <w:rPr>
          <w:rFonts w:ascii="Times New Roman" w:hAnsi="Times New Roman" w:cs="Times New Roman"/>
          <w:b/>
          <w:sz w:val="32"/>
          <w:szCs w:val="32"/>
        </w:rPr>
        <w:t>Digital T</w:t>
      </w:r>
      <w:r w:rsidR="005B2FAD" w:rsidRPr="002F0894">
        <w:rPr>
          <w:rFonts w:ascii="Times New Roman" w:hAnsi="Times New Roman" w:cs="Times New Roman"/>
          <w:b/>
          <w:sz w:val="32"/>
          <w:szCs w:val="32"/>
        </w:rPr>
        <w:t>ransformation in Supply C</w:t>
      </w:r>
      <w:r w:rsidR="00BE2A9B" w:rsidRPr="002F0894">
        <w:rPr>
          <w:rFonts w:ascii="Times New Roman" w:hAnsi="Times New Roman" w:cs="Times New Roman"/>
          <w:b/>
          <w:sz w:val="32"/>
          <w:szCs w:val="32"/>
        </w:rPr>
        <w:t>hain</w:t>
      </w:r>
    </w:p>
    <w:p w:rsidR="00A52E09" w:rsidRDefault="00F16D66" w:rsidP="00A52E0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Organisé</w:t>
      </w:r>
      <w:r w:rsidR="00A52E09">
        <w:rPr>
          <w:rFonts w:ascii="Times New Roman" w:hAnsi="Times New Roman" w:cs="Times New Roman"/>
          <w:b/>
          <w:sz w:val="28"/>
        </w:rPr>
        <w:t xml:space="preserve"> par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52E09" w:rsidRPr="00B72EB3" w:rsidTr="00A52E09">
        <w:tc>
          <w:tcPr>
            <w:tcW w:w="9212" w:type="dxa"/>
          </w:tcPr>
          <w:p w:rsidR="00BE2A9B" w:rsidRPr="00B72EB3" w:rsidRDefault="0003317B" w:rsidP="00B72EB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B72EB3">
              <w:rPr>
                <w:rFonts w:ascii="Times New Roman" w:hAnsi="Times New Roman" w:cs="Times New Roman"/>
                <w:sz w:val="24"/>
                <w:lang w:val="en-US"/>
              </w:rPr>
              <w:t>Okar</w:t>
            </w:r>
            <w:r w:rsidR="00A52E09" w:rsidRPr="00B72EB3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B72EB3">
              <w:rPr>
                <w:rFonts w:ascii="Times New Roman" w:hAnsi="Times New Roman" w:cs="Times New Roman"/>
                <w:sz w:val="24"/>
                <w:lang w:val="en-US"/>
              </w:rPr>
              <w:t>Chafik</w:t>
            </w:r>
            <w:r w:rsidR="00A52E09" w:rsidRPr="00B72EB3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 w:rsidRPr="00B72EB3">
              <w:rPr>
                <w:rFonts w:ascii="Times New Roman" w:hAnsi="Times New Roman" w:cs="Times New Roman"/>
                <w:sz w:val="24"/>
                <w:lang w:val="en-US"/>
              </w:rPr>
              <w:t>ENSA Berrechid</w:t>
            </w:r>
            <w:r w:rsidR="00FC7347" w:rsidRPr="00B72EB3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hyperlink r:id="rId7" w:history="1">
              <w:r w:rsidR="00FC7347" w:rsidRPr="00B72EB3">
                <w:rPr>
                  <w:rFonts w:ascii="Times New Roman" w:hAnsi="Times New Roman" w:cs="Times New Roman"/>
                  <w:sz w:val="24"/>
                  <w:lang w:val="en-US"/>
                </w:rPr>
                <w:t>okar.chafik@gmail.com</w:t>
              </w:r>
            </w:hyperlink>
          </w:p>
          <w:p w:rsidR="00FC7347" w:rsidRPr="00B72EB3" w:rsidRDefault="00BE2A9B" w:rsidP="00B72EB3">
            <w:pPr>
              <w:spacing w:line="276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B72EB3">
              <w:rPr>
                <w:rFonts w:ascii="Times New Roman" w:hAnsi="Times New Roman" w:cs="Times New Roman"/>
                <w:sz w:val="24"/>
                <w:lang w:val="en-US"/>
              </w:rPr>
              <w:t xml:space="preserve">Abdelali  El Bouchti, Institute for Forecasting and </w:t>
            </w:r>
            <w:r w:rsidR="00896429" w:rsidRPr="00B72EB3">
              <w:rPr>
                <w:rFonts w:ascii="Times New Roman" w:hAnsi="Times New Roman" w:cs="Times New Roman"/>
                <w:sz w:val="24"/>
                <w:lang w:val="en-US"/>
              </w:rPr>
              <w:t>Futuristics</w:t>
            </w:r>
            <w:r w:rsidRPr="00B72EB3">
              <w:rPr>
                <w:rFonts w:ascii="Times New Roman" w:hAnsi="Times New Roman" w:cs="Times New Roman"/>
                <w:sz w:val="24"/>
                <w:lang w:val="en-US"/>
              </w:rPr>
              <w:t xml:space="preserve">, ENCG, Settat, Morocco, </w:t>
            </w:r>
            <w:hyperlink r:id="rId8" w:history="1">
              <w:r w:rsidRPr="00B72EB3">
                <w:rPr>
                  <w:rFonts w:ascii="Times New Roman" w:hAnsi="Times New Roman" w:cs="Times New Roman"/>
                  <w:sz w:val="24"/>
                  <w:lang w:val="en-US"/>
                </w:rPr>
                <w:t>a.elbouchti@gmail.com</w:t>
              </w:r>
            </w:hyperlink>
          </w:p>
        </w:tc>
      </w:tr>
    </w:tbl>
    <w:p w:rsidR="00A52E09" w:rsidRPr="00B72EB3" w:rsidRDefault="00A52E09" w:rsidP="00B72EB3">
      <w:pPr>
        <w:spacing w:line="276" w:lineRule="auto"/>
        <w:rPr>
          <w:rFonts w:ascii="Times New Roman" w:hAnsi="Times New Roman" w:cs="Times New Roman"/>
          <w:b/>
          <w:sz w:val="28"/>
          <w:lang w:val="en-US"/>
        </w:rPr>
      </w:pPr>
    </w:p>
    <w:p w:rsidR="006732CB" w:rsidRPr="00B72EB3" w:rsidRDefault="006732CB" w:rsidP="00B72EB3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B72EB3">
        <w:rPr>
          <w:rFonts w:ascii="Times New Roman" w:hAnsi="Times New Roman" w:cs="Times New Roman"/>
          <w:b/>
          <w:sz w:val="28"/>
        </w:rPr>
        <w:t xml:space="preserve">Thèmes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6732CB" w:rsidRPr="00B72EB3" w:rsidTr="005E0309">
        <w:tc>
          <w:tcPr>
            <w:tcW w:w="9212" w:type="dxa"/>
          </w:tcPr>
          <w:p w:rsidR="006732CB" w:rsidRPr="00B72EB3" w:rsidRDefault="0003317B" w:rsidP="00B72EB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B72EB3">
              <w:rPr>
                <w:rFonts w:ascii="Times New Roman" w:hAnsi="Times New Roman" w:cs="Times New Roman"/>
                <w:sz w:val="24"/>
              </w:rPr>
              <w:t>Supply Chain</w:t>
            </w:r>
            <w:r w:rsidR="00271A6B" w:rsidRPr="00B72EB3">
              <w:rPr>
                <w:rFonts w:ascii="Times New Roman" w:hAnsi="Times New Roman" w:cs="Times New Roman"/>
                <w:sz w:val="24"/>
              </w:rPr>
              <w:t xml:space="preserve"> information adoption</w:t>
            </w:r>
          </w:p>
          <w:p w:rsidR="00271A6B" w:rsidRPr="00B72EB3" w:rsidRDefault="00271A6B" w:rsidP="00B72EB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B72EB3">
              <w:rPr>
                <w:rFonts w:ascii="Times New Roman" w:hAnsi="Times New Roman" w:cs="Times New Roman"/>
                <w:sz w:val="24"/>
              </w:rPr>
              <w:t>Logistics 4.0</w:t>
            </w:r>
          </w:p>
          <w:p w:rsidR="00271A6B" w:rsidRPr="00B72EB3" w:rsidRDefault="00271A6B" w:rsidP="00B72EB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B72EB3">
              <w:rPr>
                <w:rFonts w:ascii="Times New Roman" w:hAnsi="Times New Roman" w:cs="Times New Roman"/>
                <w:sz w:val="24"/>
              </w:rPr>
              <w:t>Digital transformation in Supply Chain</w:t>
            </w:r>
          </w:p>
          <w:p w:rsidR="00271A6B" w:rsidRPr="00B72EB3" w:rsidRDefault="00271A6B" w:rsidP="00B72EB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B72EB3">
              <w:rPr>
                <w:rFonts w:ascii="Times New Roman" w:hAnsi="Times New Roman" w:cs="Times New Roman"/>
                <w:sz w:val="24"/>
              </w:rPr>
              <w:t xml:space="preserve">Change management and Supply Chain Digital transformation </w:t>
            </w:r>
          </w:p>
          <w:p w:rsidR="00271A6B" w:rsidRPr="00B72EB3" w:rsidRDefault="00271A6B" w:rsidP="00B72EB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</w:rPr>
            </w:pPr>
            <w:r w:rsidRPr="00B72EB3">
              <w:rPr>
                <w:rFonts w:ascii="Times New Roman" w:hAnsi="Times New Roman" w:cs="Times New Roman"/>
                <w:sz w:val="24"/>
              </w:rPr>
              <w:t>Blockchain technology applications in Supply Chain</w:t>
            </w:r>
          </w:p>
          <w:p w:rsidR="00C03173" w:rsidRPr="00B72EB3" w:rsidRDefault="00997AAB" w:rsidP="00B72EB3">
            <w:pPr>
              <w:pStyle w:val="Paragraphedeliste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  <w:r w:rsidRPr="00B72EB3">
              <w:rPr>
                <w:rFonts w:ascii="Times New Roman" w:hAnsi="Times New Roman" w:cs="Times New Roman"/>
                <w:sz w:val="24"/>
              </w:rPr>
              <w:t>Data Analytics a</w:t>
            </w:r>
            <w:r w:rsidR="00C03173" w:rsidRPr="00B72EB3">
              <w:rPr>
                <w:rFonts w:ascii="Times New Roman" w:hAnsi="Times New Roman" w:cs="Times New Roman"/>
                <w:sz w:val="24"/>
              </w:rPr>
              <w:t>doption in Supply Chain</w:t>
            </w:r>
          </w:p>
        </w:tc>
      </w:tr>
    </w:tbl>
    <w:p w:rsidR="00A52E09" w:rsidRPr="00B72EB3" w:rsidRDefault="00A52E09" w:rsidP="00B72EB3">
      <w:pPr>
        <w:spacing w:line="276" w:lineRule="auto"/>
        <w:rPr>
          <w:rFonts w:ascii="Times New Roman" w:hAnsi="Times New Roman" w:cs="Times New Roman"/>
          <w:b/>
          <w:sz w:val="28"/>
          <w:lang w:val="en-US"/>
        </w:rPr>
      </w:pPr>
    </w:p>
    <w:p w:rsidR="00A52E09" w:rsidRPr="00B72EB3" w:rsidRDefault="00A52E09" w:rsidP="00B72EB3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B72EB3">
        <w:rPr>
          <w:rFonts w:ascii="Times New Roman" w:hAnsi="Times New Roman" w:cs="Times New Roman"/>
          <w:b/>
          <w:sz w:val="28"/>
        </w:rPr>
        <w:t>Résumé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52E09" w:rsidRPr="00B72EB3" w:rsidTr="00A52E09">
        <w:tc>
          <w:tcPr>
            <w:tcW w:w="9212" w:type="dxa"/>
          </w:tcPr>
          <w:p w:rsidR="0003317B" w:rsidRPr="00B72EB3" w:rsidRDefault="00CF5F81" w:rsidP="00B72E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Nowadays, s</w:t>
            </w:r>
            <w:r w:rsidR="00B11A3F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upply chains are experiencing an essential change as they become</w:t>
            </w: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acclimatized to the enormous chance</w:t>
            </w:r>
            <w:r w:rsidR="00B11A3F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given by the latest and hot technologies encompassing digital transformation, big data analytics, blockchain technolo</w:t>
            </w: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gy, and Internet of things</w:t>
            </w:r>
            <w:r w:rsidR="00B11A3F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232C6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97AAB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Consequently, a</w:t>
            </w:r>
            <w:r w:rsidR="000232C6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dopting digital technologies </w:t>
            </w: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</w:t>
            </w:r>
            <w:r w:rsidR="000232C6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shape </w:t>
            </w: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certainly </w:t>
            </w:r>
            <w:r w:rsidR="000232C6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crucial lever to enhance the operational efficacy of supply chains. </w:t>
            </w:r>
          </w:p>
          <w:p w:rsidR="0003317B" w:rsidRPr="00B72EB3" w:rsidRDefault="0003317B" w:rsidP="00B72E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This session should discus an implementation road map addressing </w:t>
            </w:r>
            <w:r w:rsidR="000232C6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following</w:t>
            </w: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questions: </w:t>
            </w:r>
          </w:p>
          <w:p w:rsidR="0003317B" w:rsidRPr="00B72EB3" w:rsidRDefault="0003317B" w:rsidP="00B72EB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3">
              <w:rPr>
                <w:rFonts w:ascii="Times New Roman" w:hAnsi="Times New Roman" w:cs="Times New Roman"/>
                <w:sz w:val="24"/>
                <w:szCs w:val="24"/>
              </w:rPr>
              <w:t>What is the scope of digital transformation in supply chain?</w:t>
            </w:r>
          </w:p>
          <w:p w:rsidR="0003317B" w:rsidRPr="00B72EB3" w:rsidRDefault="0003317B" w:rsidP="00B72EB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3">
              <w:rPr>
                <w:rFonts w:ascii="Times New Roman" w:hAnsi="Times New Roman" w:cs="Times New Roman"/>
                <w:sz w:val="24"/>
                <w:szCs w:val="24"/>
              </w:rPr>
              <w:t>What are the proposed objectives to achieve in order to build a strong and sustained supply chain digital model</w:t>
            </w:r>
          </w:p>
          <w:p w:rsidR="0003317B" w:rsidRPr="00B72EB3" w:rsidRDefault="0003317B" w:rsidP="00B72EB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EB3">
              <w:rPr>
                <w:rFonts w:ascii="Times New Roman" w:hAnsi="Times New Roman" w:cs="Times New Roman"/>
                <w:sz w:val="24"/>
                <w:szCs w:val="24"/>
              </w:rPr>
              <w:t>How to address change management?</w:t>
            </w:r>
          </w:p>
          <w:p w:rsidR="00A52E09" w:rsidRPr="00B72EB3" w:rsidRDefault="0003317B" w:rsidP="00B72EB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72EB3">
              <w:rPr>
                <w:rFonts w:ascii="Times New Roman" w:hAnsi="Times New Roman" w:cs="Times New Roman"/>
                <w:sz w:val="24"/>
                <w:szCs w:val="24"/>
              </w:rPr>
              <w:t xml:space="preserve">What are the benefits and the </w:t>
            </w:r>
            <w:r w:rsidR="00997AAB" w:rsidRPr="00B72EB3"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r w:rsidRPr="00B72EB3">
              <w:rPr>
                <w:rFonts w:ascii="Times New Roman" w:hAnsi="Times New Roman" w:cs="Times New Roman"/>
                <w:sz w:val="24"/>
                <w:szCs w:val="24"/>
              </w:rPr>
              <w:t xml:space="preserve"> of di</w:t>
            </w:r>
            <w:r w:rsidR="000232C6" w:rsidRPr="00B72EB3">
              <w:rPr>
                <w:rFonts w:ascii="Times New Roman" w:hAnsi="Times New Roman" w:cs="Times New Roman"/>
                <w:sz w:val="24"/>
                <w:szCs w:val="24"/>
              </w:rPr>
              <w:t>gital transformation in supply c</w:t>
            </w:r>
            <w:r w:rsidRPr="00B72EB3">
              <w:rPr>
                <w:rFonts w:ascii="Times New Roman" w:hAnsi="Times New Roman" w:cs="Times New Roman"/>
                <w:sz w:val="24"/>
                <w:szCs w:val="24"/>
              </w:rPr>
              <w:t>hain</w:t>
            </w:r>
            <w:bookmarkStart w:id="0" w:name="_GoBack"/>
            <w:bookmarkEnd w:id="0"/>
            <w:r w:rsidRPr="00B72EB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2F0894" w:rsidRPr="00B72EB3" w:rsidRDefault="002F0894" w:rsidP="00B72EB3">
      <w:pPr>
        <w:spacing w:line="276" w:lineRule="auto"/>
        <w:rPr>
          <w:rFonts w:ascii="Times New Roman" w:hAnsi="Times New Roman" w:cs="Times New Roman"/>
          <w:b/>
          <w:sz w:val="28"/>
          <w:lang w:val="en-US"/>
        </w:rPr>
      </w:pPr>
    </w:p>
    <w:p w:rsidR="00A52E09" w:rsidRPr="00B72EB3" w:rsidRDefault="006732CB" w:rsidP="00B72EB3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B72EB3">
        <w:rPr>
          <w:rFonts w:ascii="Times New Roman" w:hAnsi="Times New Roman" w:cs="Times New Roman"/>
          <w:b/>
          <w:sz w:val="28"/>
        </w:rPr>
        <w:t xml:space="preserve">Mots clés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A52E09" w:rsidRPr="00B72EB3" w:rsidTr="00A52E09">
        <w:tc>
          <w:tcPr>
            <w:tcW w:w="9212" w:type="dxa"/>
          </w:tcPr>
          <w:p w:rsidR="00A52E09" w:rsidRPr="00B72EB3" w:rsidRDefault="0003317B" w:rsidP="00B72E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Digital Supply Chain (DSC), </w:t>
            </w:r>
            <w:r w:rsidR="000232C6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Supply Chain 4.0,</w:t>
            </w:r>
            <w:r w:rsidR="000232C6" w:rsidRPr="00B72EB3">
              <w:rPr>
                <w:rFonts w:ascii="Times New Roman" w:hAnsi="Times New Roman" w:cs="Times New Roman"/>
                <w:color w:val="333446"/>
                <w:sz w:val="27"/>
                <w:szCs w:val="27"/>
                <w:lang w:val="en-US"/>
              </w:rPr>
              <w:t xml:space="preserve"> </w:t>
            </w: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Enterprise Res</w:t>
            </w:r>
            <w:r w:rsidR="00BE2A9B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ource Planning (ERP), Balanced S</w:t>
            </w:r>
            <w:r w:rsidR="002F0894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corecards (BSC)</w:t>
            </w: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0232C6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Technology M</w:t>
            </w:r>
            <w:r w:rsidR="002F0894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odernization, Blockc</w:t>
            </w:r>
            <w:r w:rsidR="000232C6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hain T</w:t>
            </w: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echnology (BC</w:t>
            </w:r>
            <w:r w:rsidR="002F0894"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72E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 Change Management, Data Analytics</w:t>
            </w:r>
          </w:p>
        </w:tc>
      </w:tr>
    </w:tbl>
    <w:p w:rsidR="00B00021" w:rsidRPr="007D5E9A" w:rsidRDefault="00B00021" w:rsidP="00B72EB3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D5E9A">
        <w:rPr>
          <w:rFonts w:ascii="Times New Roman" w:hAnsi="Times New Roman" w:cs="Times New Roman"/>
          <w:sz w:val="28"/>
        </w:rPr>
        <w:t xml:space="preserve"> </w:t>
      </w:r>
    </w:p>
    <w:sectPr w:rsidR="00B00021" w:rsidRPr="007D5E9A" w:rsidSect="00B56C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B82" w:rsidRDefault="00C14B82" w:rsidP="00AB6001">
      <w:pPr>
        <w:spacing w:after="0" w:line="240" w:lineRule="auto"/>
      </w:pPr>
      <w:r>
        <w:separator/>
      </w:r>
    </w:p>
  </w:endnote>
  <w:endnote w:type="continuationSeparator" w:id="1">
    <w:p w:rsidR="00C14B82" w:rsidRDefault="00C14B82" w:rsidP="00AB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B82" w:rsidRDefault="00C14B82" w:rsidP="00AB6001">
      <w:pPr>
        <w:spacing w:after="0" w:line="240" w:lineRule="auto"/>
      </w:pPr>
      <w:r>
        <w:separator/>
      </w:r>
    </w:p>
  </w:footnote>
  <w:footnote w:type="continuationSeparator" w:id="1">
    <w:p w:rsidR="00C14B82" w:rsidRDefault="00C14B82" w:rsidP="00AB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2"/>
      <w:gridCol w:w="2835"/>
      <w:gridCol w:w="2268"/>
    </w:tblGrid>
    <w:tr w:rsidR="00276016" w:rsidRPr="00A52E09" w:rsidTr="00276016">
      <w:trPr>
        <w:trHeight w:val="578"/>
      </w:trPr>
      <w:tc>
        <w:tcPr>
          <w:tcW w:w="3652" w:type="dxa"/>
        </w:tcPr>
        <w:p w:rsidR="00276016" w:rsidRPr="00276016" w:rsidRDefault="00276016" w:rsidP="00276016">
          <w:pPr>
            <w:spacing w:line="276" w:lineRule="auto"/>
            <w:rPr>
              <w:rFonts w:ascii="Times New Roman" w:hAnsi="Times New Roman" w:cs="Times New Roman"/>
              <w:b/>
              <w:sz w:val="24"/>
            </w:rPr>
          </w:pPr>
          <w:r w:rsidRPr="00276016">
            <w:rPr>
              <w:rFonts w:ascii="Bahnschrift" w:hAnsi="Bahnschrift"/>
              <w:b/>
              <w:sz w:val="20"/>
            </w:rPr>
            <w:t>Colloque international de la logistique et du Supply Chain Management</w:t>
          </w:r>
        </w:p>
      </w:tc>
      <w:tc>
        <w:tcPr>
          <w:tcW w:w="2835" w:type="dxa"/>
          <w:vMerge w:val="restart"/>
        </w:tcPr>
        <w:p w:rsidR="00276016" w:rsidRPr="00A52E09" w:rsidRDefault="00276016" w:rsidP="00276016">
          <w:pPr>
            <w:spacing w:line="276" w:lineRule="auto"/>
            <w:jc w:val="center"/>
            <w:rPr>
              <w:rFonts w:ascii="Bahnschrift" w:hAnsi="Bahnschrift"/>
              <w:b/>
              <w:sz w:val="28"/>
            </w:rPr>
          </w:pPr>
          <w:r w:rsidRPr="007D5E9A">
            <w:rPr>
              <w:rFonts w:ascii="Bahnschrift" w:hAnsi="Bahnschrift"/>
              <w:b/>
              <w:noProof/>
              <w:sz w:val="28"/>
              <w:lang w:eastAsia="fr-FR"/>
            </w:rPr>
            <w:drawing>
              <wp:inline distT="0" distB="0" distL="0" distR="0">
                <wp:extent cx="1012544" cy="561975"/>
                <wp:effectExtent l="19050" t="0" r="0" b="0"/>
                <wp:docPr id="28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657" cy="564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</w:tcPr>
        <w:p w:rsidR="00276016" w:rsidRPr="00A52E09" w:rsidRDefault="00276016" w:rsidP="00276016">
          <w:pPr>
            <w:spacing w:line="276" w:lineRule="auto"/>
            <w:jc w:val="right"/>
            <w:rPr>
              <w:rFonts w:ascii="Bahnschrift" w:hAnsi="Bahnschrift"/>
              <w:b/>
              <w:sz w:val="28"/>
            </w:rPr>
          </w:pPr>
          <w:r w:rsidRPr="007D5E9A">
            <w:rPr>
              <w:rFonts w:ascii="Bahnschrift" w:hAnsi="Bahnschrift"/>
              <w:b/>
              <w:noProof/>
              <w:sz w:val="28"/>
              <w:lang w:eastAsia="fr-FR"/>
            </w:rPr>
            <w:drawing>
              <wp:inline distT="0" distB="0" distL="0" distR="0">
                <wp:extent cx="1115077" cy="626159"/>
                <wp:effectExtent l="19050" t="0" r="8873" b="0"/>
                <wp:docPr id="29" name="Image 4" descr="IEEE - Faire progresser la technologie pour l'humanitÃ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EEE - Faire progresser la technologie pour l'humanitÃ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077" cy="6261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76016" w:rsidRPr="00A52E09" w:rsidTr="00276016">
      <w:trPr>
        <w:trHeight w:val="577"/>
      </w:trPr>
      <w:tc>
        <w:tcPr>
          <w:tcW w:w="3652" w:type="dxa"/>
        </w:tcPr>
        <w:p w:rsidR="00276016" w:rsidRPr="00A52E09" w:rsidRDefault="00276016" w:rsidP="00AB6001">
          <w:pPr>
            <w:rPr>
              <w:rFonts w:ascii="Bahnschrift" w:hAnsi="Bahnschrift"/>
              <w:b/>
              <w:sz w:val="24"/>
            </w:rPr>
          </w:pPr>
          <w:r w:rsidRPr="00A52E09">
            <w:rPr>
              <w:rFonts w:ascii="Bahnschrift" w:hAnsi="Bahnschrift"/>
              <w:b/>
              <w:noProof/>
              <w:sz w:val="24"/>
              <w:lang w:eastAsia="fr-FR"/>
            </w:rPr>
            <w:drawing>
              <wp:inline distT="0" distB="0" distL="0" distR="0">
                <wp:extent cx="1276350" cy="361950"/>
                <wp:effectExtent l="19050" t="0" r="0" b="0"/>
                <wp:docPr id="30" name="Image 1" descr="E:\DD Fouad 1\3. Recherche\9. LOGISTIQUA\1. Gestion logistiqua\Logo LOGISTIQUA\logoScConf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DD Fouad 1\3. Recherche\9. LOGISTIQUA\1. Gestion logistiqua\Logo LOGISTIQUA\logoScConf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Merge/>
        </w:tcPr>
        <w:p w:rsidR="00276016" w:rsidRPr="007D5E9A" w:rsidRDefault="00276016" w:rsidP="005E0309">
          <w:pPr>
            <w:spacing w:line="276" w:lineRule="auto"/>
            <w:rPr>
              <w:rFonts w:ascii="Bahnschrift" w:hAnsi="Bahnschrift"/>
              <w:b/>
              <w:sz w:val="28"/>
            </w:rPr>
          </w:pPr>
        </w:p>
      </w:tc>
      <w:tc>
        <w:tcPr>
          <w:tcW w:w="2268" w:type="dxa"/>
          <w:vMerge/>
        </w:tcPr>
        <w:p w:rsidR="00276016" w:rsidRPr="007D5E9A" w:rsidRDefault="00276016" w:rsidP="005E0309">
          <w:pPr>
            <w:spacing w:line="276" w:lineRule="auto"/>
            <w:rPr>
              <w:rFonts w:ascii="Bahnschrift" w:hAnsi="Bahnschrift"/>
              <w:b/>
              <w:sz w:val="28"/>
            </w:rPr>
          </w:pPr>
        </w:p>
      </w:tc>
    </w:tr>
  </w:tbl>
  <w:p w:rsidR="00AB6001" w:rsidRDefault="00AB600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0D8C"/>
    <w:multiLevelType w:val="hybridMultilevel"/>
    <w:tmpl w:val="A7A038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D7703"/>
    <w:multiLevelType w:val="hybridMultilevel"/>
    <w:tmpl w:val="41A48FB0"/>
    <w:lvl w:ilvl="0" w:tplc="FA38E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12585"/>
    <w:multiLevelType w:val="hybridMultilevel"/>
    <w:tmpl w:val="955A1E3C"/>
    <w:lvl w:ilvl="0" w:tplc="69789CD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D554A"/>
    <w:multiLevelType w:val="hybridMultilevel"/>
    <w:tmpl w:val="65BC39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E09"/>
    <w:rsid w:val="000232C6"/>
    <w:rsid w:val="000306E2"/>
    <w:rsid w:val="0003317B"/>
    <w:rsid w:val="00073F9A"/>
    <w:rsid w:val="00117EEA"/>
    <w:rsid w:val="00192334"/>
    <w:rsid w:val="00271A6B"/>
    <w:rsid w:val="00276016"/>
    <w:rsid w:val="002F0894"/>
    <w:rsid w:val="00335B83"/>
    <w:rsid w:val="00343B56"/>
    <w:rsid w:val="005A7A19"/>
    <w:rsid w:val="005B2FAD"/>
    <w:rsid w:val="005C058D"/>
    <w:rsid w:val="005F6E4B"/>
    <w:rsid w:val="00623C80"/>
    <w:rsid w:val="006732CB"/>
    <w:rsid w:val="00751298"/>
    <w:rsid w:val="007D5E9A"/>
    <w:rsid w:val="007F5A06"/>
    <w:rsid w:val="007F6863"/>
    <w:rsid w:val="00896429"/>
    <w:rsid w:val="00997AAB"/>
    <w:rsid w:val="00A13F1B"/>
    <w:rsid w:val="00A47AA1"/>
    <w:rsid w:val="00A52E09"/>
    <w:rsid w:val="00AB6001"/>
    <w:rsid w:val="00B00021"/>
    <w:rsid w:val="00B11A3F"/>
    <w:rsid w:val="00B56C44"/>
    <w:rsid w:val="00B72EB3"/>
    <w:rsid w:val="00B8213A"/>
    <w:rsid w:val="00BE2A9B"/>
    <w:rsid w:val="00BE53DA"/>
    <w:rsid w:val="00C03173"/>
    <w:rsid w:val="00C14B82"/>
    <w:rsid w:val="00C2254C"/>
    <w:rsid w:val="00C63D4A"/>
    <w:rsid w:val="00CF5F81"/>
    <w:rsid w:val="00DF7CA4"/>
    <w:rsid w:val="00EF2C4C"/>
    <w:rsid w:val="00F16D66"/>
    <w:rsid w:val="00FC7347"/>
    <w:rsid w:val="00FE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E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A52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AB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6001"/>
  </w:style>
  <w:style w:type="paragraph" w:styleId="Pieddepage">
    <w:name w:val="footer"/>
    <w:basedOn w:val="Normal"/>
    <w:link w:val="PieddepageCar"/>
    <w:uiPriority w:val="99"/>
    <w:semiHidden/>
    <w:unhideWhenUsed/>
    <w:rsid w:val="00AB6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6001"/>
  </w:style>
  <w:style w:type="paragraph" w:styleId="Paragraphedeliste">
    <w:name w:val="List Paragraph"/>
    <w:basedOn w:val="Normal"/>
    <w:uiPriority w:val="34"/>
    <w:qFormat/>
    <w:rsid w:val="0003317B"/>
    <w:pPr>
      <w:spacing w:after="200" w:line="276" w:lineRule="auto"/>
      <w:ind w:left="720"/>
      <w:contextualSpacing/>
    </w:pPr>
    <w:rPr>
      <w:lang w:val="en-US"/>
    </w:rPr>
  </w:style>
  <w:style w:type="character" w:styleId="Lienhypertexte">
    <w:name w:val="Hyperlink"/>
    <w:basedOn w:val="Policepardfaut"/>
    <w:uiPriority w:val="99"/>
    <w:unhideWhenUsed/>
    <w:rsid w:val="00FC734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elboucht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ar.chaf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Pr.jawab</dc:creator>
  <cp:lastModifiedBy>Pr.jawab</cp:lastModifiedBy>
  <cp:revision>4</cp:revision>
  <dcterms:created xsi:type="dcterms:W3CDTF">2018-10-09T14:17:00Z</dcterms:created>
  <dcterms:modified xsi:type="dcterms:W3CDTF">2018-10-22T18:03:00Z</dcterms:modified>
</cp:coreProperties>
</file>