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56" w:rsidRPr="00276016" w:rsidRDefault="00276016" w:rsidP="00276016">
      <w:pPr>
        <w:spacing w:line="276" w:lineRule="auto"/>
        <w:jc w:val="center"/>
        <w:rPr>
          <w:rFonts w:ascii="Bahnschrift" w:hAnsi="Bahnschrift"/>
          <w:b/>
          <w:sz w:val="28"/>
        </w:rPr>
      </w:pPr>
      <w:r w:rsidRPr="00A52E09">
        <w:rPr>
          <w:rFonts w:ascii="Bahnschrift" w:hAnsi="Bahnschrift"/>
          <w:b/>
          <w:sz w:val="28"/>
        </w:rPr>
        <w:t xml:space="preserve">IUT  Montreuil  </w:t>
      </w:r>
      <w:r>
        <w:rPr>
          <w:rFonts w:ascii="Bahnschrift" w:hAnsi="Bahnschrift"/>
          <w:b/>
          <w:sz w:val="28"/>
        </w:rPr>
        <w:t xml:space="preserve">- </w:t>
      </w:r>
      <w:r w:rsidRPr="00A52E09">
        <w:rPr>
          <w:rFonts w:ascii="Bahnschrift" w:hAnsi="Bahnschrift"/>
          <w:b/>
          <w:sz w:val="28"/>
        </w:rPr>
        <w:t xml:space="preserve">Paris,  </w:t>
      </w:r>
      <w:r>
        <w:rPr>
          <w:rFonts w:ascii="Bahnschrift" w:hAnsi="Bahnschrift"/>
          <w:b/>
          <w:sz w:val="28"/>
        </w:rPr>
        <w:t xml:space="preserve">France - </w:t>
      </w:r>
      <w:r w:rsidRPr="00A52E09">
        <w:rPr>
          <w:rFonts w:ascii="Bahnschrift" w:hAnsi="Bahnschrift"/>
          <w:b/>
          <w:sz w:val="28"/>
        </w:rPr>
        <w:t>12 - 14 juin 2019</w:t>
      </w:r>
    </w:p>
    <w:p w:rsidR="00EF73FF" w:rsidRDefault="00EF73FF" w:rsidP="00A52E09">
      <w:pPr>
        <w:jc w:val="center"/>
        <w:rPr>
          <w:rFonts w:ascii="Arial" w:hAnsi="Arial"/>
          <w:b/>
          <w:sz w:val="28"/>
        </w:rPr>
      </w:pPr>
      <w:r>
        <w:rPr>
          <w:rFonts w:ascii="Arial" w:hAnsi="Arial"/>
          <w:b/>
          <w:sz w:val="28"/>
        </w:rPr>
        <w:t>Workshop</w:t>
      </w:r>
    </w:p>
    <w:p w:rsidR="00A52E09" w:rsidRDefault="00DC4C75" w:rsidP="00A52E09">
      <w:pPr>
        <w:jc w:val="center"/>
        <w:rPr>
          <w:rFonts w:ascii="Times New Roman" w:hAnsi="Times New Roman" w:cs="Times New Roman"/>
          <w:b/>
          <w:sz w:val="28"/>
        </w:rPr>
      </w:pPr>
      <w:r>
        <w:rPr>
          <w:rFonts w:ascii="Times New Roman" w:hAnsi="Times New Roman" w:cs="Times New Roman"/>
          <w:b/>
          <w:sz w:val="28"/>
        </w:rPr>
        <w:t xml:space="preserve">Intitulé : </w:t>
      </w:r>
      <w:r w:rsidR="00F024A6" w:rsidRPr="00F024A6">
        <w:rPr>
          <w:rFonts w:ascii="Times New Roman" w:hAnsi="Times New Roman" w:cs="Times New Roman"/>
          <w:b/>
          <w:sz w:val="28"/>
        </w:rPr>
        <w:t>Plateformes logistiques multi flux</w:t>
      </w:r>
    </w:p>
    <w:p w:rsidR="00A52E09" w:rsidRPr="00DC4C75" w:rsidRDefault="00A52E09" w:rsidP="00A52E09">
      <w:pPr>
        <w:rPr>
          <w:rFonts w:ascii="Times New Roman" w:hAnsi="Times New Roman" w:cs="Times New Roman"/>
          <w:b/>
          <w:sz w:val="28"/>
        </w:rPr>
      </w:pPr>
      <w:r w:rsidRPr="00DC4C75">
        <w:rPr>
          <w:rFonts w:ascii="Times New Roman" w:hAnsi="Times New Roman" w:cs="Times New Roman"/>
          <w:b/>
          <w:sz w:val="28"/>
        </w:rPr>
        <w:t>Organisée par</w:t>
      </w:r>
      <w:r w:rsidR="00DC4C75">
        <w:rPr>
          <w:rFonts w:ascii="Times New Roman" w:hAnsi="Times New Roman" w:cs="Times New Roman"/>
          <w:b/>
          <w:sz w:val="28"/>
        </w:rPr>
        <w:t> :</w:t>
      </w:r>
    </w:p>
    <w:tbl>
      <w:tblPr>
        <w:tblStyle w:val="Grilledutableau"/>
        <w:tblW w:w="0" w:type="auto"/>
        <w:tblLook w:val="04A0"/>
      </w:tblPr>
      <w:tblGrid>
        <w:gridCol w:w="9212"/>
      </w:tblGrid>
      <w:tr w:rsidR="00A52E09" w:rsidRPr="00DC4C75" w:rsidTr="00A52E09">
        <w:tc>
          <w:tcPr>
            <w:tcW w:w="9212" w:type="dxa"/>
          </w:tcPr>
          <w:p w:rsidR="00D60FB2" w:rsidRPr="00DC4C75" w:rsidRDefault="00D60FB2" w:rsidP="00D60FB2">
            <w:pPr>
              <w:rPr>
                <w:rFonts w:ascii="Times New Roman" w:hAnsi="Times New Roman" w:cs="Times New Roman"/>
                <w:sz w:val="24"/>
              </w:rPr>
            </w:pPr>
            <w:r w:rsidRPr="00DC4C75">
              <w:rPr>
                <w:rFonts w:ascii="Times New Roman" w:hAnsi="Times New Roman" w:cs="Times New Roman"/>
                <w:sz w:val="24"/>
              </w:rPr>
              <w:t xml:space="preserve">KAMACH Oulaid, Ecole Nationale des Sciences Appliquées de Tanger, </w:t>
            </w:r>
          </w:p>
          <w:p w:rsidR="00D60FB2" w:rsidRPr="00DC4C75" w:rsidRDefault="008C21CA" w:rsidP="00A52E09">
            <w:pPr>
              <w:rPr>
                <w:rFonts w:ascii="Times New Roman" w:hAnsi="Times New Roman" w:cs="Times New Roman"/>
                <w:sz w:val="24"/>
              </w:rPr>
            </w:pPr>
            <w:hyperlink r:id="rId7" w:history="1">
              <w:r w:rsidR="00FC1AAD" w:rsidRPr="00DC4C75">
                <w:rPr>
                  <w:rStyle w:val="Lienhypertexte"/>
                  <w:rFonts w:ascii="Times New Roman" w:hAnsi="Times New Roman" w:cs="Times New Roman"/>
                  <w:sz w:val="24"/>
                </w:rPr>
                <w:t>kmach@ensat.ac.ma</w:t>
              </w:r>
            </w:hyperlink>
          </w:p>
          <w:p w:rsidR="00266947" w:rsidRPr="00DC4C75" w:rsidRDefault="00710BF5" w:rsidP="00D60FB2">
            <w:pPr>
              <w:rPr>
                <w:rFonts w:ascii="Times New Roman" w:hAnsi="Times New Roman" w:cs="Times New Roman"/>
                <w:sz w:val="24"/>
              </w:rPr>
            </w:pPr>
            <w:r w:rsidRPr="00DC4C75">
              <w:rPr>
                <w:rFonts w:ascii="Times New Roman" w:hAnsi="Times New Roman" w:cs="Times New Roman"/>
                <w:sz w:val="24"/>
              </w:rPr>
              <w:t xml:space="preserve">BOUMANE Abderrazak, Ecole Nationale des Sciences Appliquées de Tanger, </w:t>
            </w:r>
            <w:hyperlink r:id="rId8" w:history="1">
              <w:r w:rsidR="00266947" w:rsidRPr="00DC4C75">
                <w:rPr>
                  <w:rStyle w:val="Lienhypertexte"/>
                  <w:rFonts w:ascii="Times New Roman" w:hAnsi="Times New Roman" w:cs="Times New Roman"/>
                  <w:sz w:val="24"/>
                </w:rPr>
                <w:t>ak.boumane@gmail.com</w:t>
              </w:r>
            </w:hyperlink>
          </w:p>
        </w:tc>
      </w:tr>
    </w:tbl>
    <w:p w:rsidR="00DC4C75" w:rsidRDefault="00DC4C75" w:rsidP="006732CB">
      <w:pPr>
        <w:spacing w:after="0" w:line="240" w:lineRule="auto"/>
        <w:rPr>
          <w:rFonts w:ascii="Times New Roman" w:hAnsi="Times New Roman" w:cs="Times New Roman"/>
          <w:b/>
          <w:sz w:val="28"/>
        </w:rPr>
      </w:pPr>
    </w:p>
    <w:p w:rsidR="006732CB" w:rsidRPr="00DC4C75" w:rsidRDefault="006732CB" w:rsidP="006732CB">
      <w:pPr>
        <w:spacing w:after="0" w:line="240" w:lineRule="auto"/>
        <w:rPr>
          <w:rFonts w:ascii="Times New Roman" w:hAnsi="Times New Roman" w:cs="Times New Roman"/>
          <w:b/>
          <w:sz w:val="28"/>
        </w:rPr>
      </w:pPr>
      <w:r w:rsidRPr="00DC4C75">
        <w:rPr>
          <w:rFonts w:ascii="Times New Roman" w:hAnsi="Times New Roman" w:cs="Times New Roman"/>
          <w:b/>
          <w:sz w:val="28"/>
        </w:rPr>
        <w:t xml:space="preserve">Thèmes </w:t>
      </w:r>
    </w:p>
    <w:tbl>
      <w:tblPr>
        <w:tblStyle w:val="Grilledutableau"/>
        <w:tblW w:w="0" w:type="auto"/>
        <w:tblLook w:val="04A0"/>
      </w:tblPr>
      <w:tblGrid>
        <w:gridCol w:w="9212"/>
      </w:tblGrid>
      <w:tr w:rsidR="006732CB" w:rsidRPr="00DC4C75" w:rsidTr="005E0309">
        <w:tc>
          <w:tcPr>
            <w:tcW w:w="9212" w:type="dxa"/>
          </w:tcPr>
          <w:p w:rsidR="005F2121" w:rsidRPr="002C2044" w:rsidRDefault="005F2121" w:rsidP="002C2044">
            <w:pPr>
              <w:pStyle w:val="Paragraphedeliste"/>
              <w:numPr>
                <w:ilvl w:val="0"/>
                <w:numId w:val="2"/>
              </w:numPr>
              <w:rPr>
                <w:sz w:val="24"/>
                <w:szCs w:val="24"/>
              </w:rPr>
            </w:pPr>
            <w:bookmarkStart w:id="0" w:name="_GoBack"/>
            <w:bookmarkEnd w:id="0"/>
            <w:r w:rsidRPr="002C2044">
              <w:rPr>
                <w:sz w:val="24"/>
                <w:szCs w:val="24"/>
              </w:rPr>
              <w:t>Plateforme Logistique Multi Flux,</w:t>
            </w:r>
          </w:p>
          <w:p w:rsidR="005F2121" w:rsidRDefault="005F2121" w:rsidP="005F2121">
            <w:pPr>
              <w:pStyle w:val="Paragraphedeliste"/>
              <w:numPr>
                <w:ilvl w:val="0"/>
                <w:numId w:val="2"/>
              </w:numPr>
              <w:rPr>
                <w:sz w:val="24"/>
                <w:szCs w:val="24"/>
              </w:rPr>
            </w:pPr>
            <w:r w:rsidRPr="005F2121">
              <w:rPr>
                <w:sz w:val="24"/>
                <w:szCs w:val="24"/>
              </w:rPr>
              <w:t>Cross Docking</w:t>
            </w:r>
            <w:r>
              <w:rPr>
                <w:sz w:val="24"/>
                <w:szCs w:val="24"/>
              </w:rPr>
              <w:t>,</w:t>
            </w:r>
          </w:p>
          <w:p w:rsidR="005F2121" w:rsidRDefault="005F2121" w:rsidP="005F2121">
            <w:pPr>
              <w:pStyle w:val="Paragraphedeliste"/>
              <w:numPr>
                <w:ilvl w:val="0"/>
                <w:numId w:val="2"/>
              </w:numPr>
              <w:rPr>
                <w:sz w:val="24"/>
                <w:szCs w:val="24"/>
              </w:rPr>
            </w:pPr>
            <w:r w:rsidRPr="005F2121">
              <w:rPr>
                <w:sz w:val="24"/>
                <w:szCs w:val="24"/>
              </w:rPr>
              <w:t>Optimisation et massification des flux de marchandises</w:t>
            </w:r>
            <w:r>
              <w:rPr>
                <w:sz w:val="24"/>
                <w:szCs w:val="24"/>
              </w:rPr>
              <w:t>,</w:t>
            </w:r>
          </w:p>
          <w:p w:rsidR="005F2121" w:rsidRDefault="005F2121" w:rsidP="005F2121">
            <w:pPr>
              <w:pStyle w:val="Paragraphedeliste"/>
              <w:numPr>
                <w:ilvl w:val="0"/>
                <w:numId w:val="2"/>
              </w:numPr>
              <w:rPr>
                <w:sz w:val="24"/>
                <w:szCs w:val="24"/>
              </w:rPr>
            </w:pPr>
            <w:r w:rsidRPr="005F2121">
              <w:rPr>
                <w:sz w:val="24"/>
                <w:szCs w:val="24"/>
              </w:rPr>
              <w:t xml:space="preserve">Problème d’affectation des plateformes </w:t>
            </w:r>
            <w:r>
              <w:rPr>
                <w:sz w:val="24"/>
                <w:szCs w:val="24"/>
              </w:rPr>
              <w:t>logistiques,</w:t>
            </w:r>
          </w:p>
          <w:p w:rsidR="005F2121" w:rsidRPr="002C2044" w:rsidRDefault="00E76163" w:rsidP="005E0309">
            <w:pPr>
              <w:pStyle w:val="Paragraphedeliste"/>
              <w:numPr>
                <w:ilvl w:val="0"/>
                <w:numId w:val="2"/>
              </w:numPr>
              <w:rPr>
                <w:sz w:val="24"/>
                <w:szCs w:val="24"/>
              </w:rPr>
            </w:pPr>
            <w:r>
              <w:rPr>
                <w:sz w:val="24"/>
                <w:szCs w:val="24"/>
              </w:rPr>
              <w:t>Plateforme Multimodale</w:t>
            </w:r>
          </w:p>
        </w:tc>
      </w:tr>
    </w:tbl>
    <w:p w:rsidR="00DC4C75" w:rsidRDefault="00DC4C75" w:rsidP="006732CB">
      <w:pPr>
        <w:spacing w:after="0" w:line="240" w:lineRule="auto"/>
        <w:rPr>
          <w:rFonts w:ascii="Times New Roman" w:hAnsi="Times New Roman" w:cs="Times New Roman"/>
          <w:b/>
          <w:sz w:val="28"/>
        </w:rPr>
      </w:pPr>
    </w:p>
    <w:p w:rsidR="00A52E09" w:rsidRPr="00DC4C75" w:rsidRDefault="00A52E09" w:rsidP="006732CB">
      <w:pPr>
        <w:spacing w:after="0" w:line="240" w:lineRule="auto"/>
        <w:rPr>
          <w:rFonts w:ascii="Times New Roman" w:hAnsi="Times New Roman" w:cs="Times New Roman"/>
          <w:b/>
          <w:sz w:val="28"/>
        </w:rPr>
      </w:pPr>
      <w:r w:rsidRPr="00DC4C75">
        <w:rPr>
          <w:rFonts w:ascii="Times New Roman" w:hAnsi="Times New Roman" w:cs="Times New Roman"/>
          <w:b/>
          <w:sz w:val="28"/>
        </w:rPr>
        <w:t>Résumé</w:t>
      </w:r>
    </w:p>
    <w:tbl>
      <w:tblPr>
        <w:tblStyle w:val="Grilledutableau"/>
        <w:tblW w:w="0" w:type="auto"/>
        <w:tblLook w:val="04A0"/>
      </w:tblPr>
      <w:tblGrid>
        <w:gridCol w:w="9212"/>
      </w:tblGrid>
      <w:tr w:rsidR="00A52E09" w:rsidRPr="00DC4C75" w:rsidTr="00A52E09">
        <w:tc>
          <w:tcPr>
            <w:tcW w:w="9212" w:type="dxa"/>
          </w:tcPr>
          <w:p w:rsidR="00FC1AAD" w:rsidRPr="00DC4C75" w:rsidRDefault="00FC1AAD" w:rsidP="00DC4C75">
            <w:pPr>
              <w:pStyle w:val="Corpsdetexte"/>
              <w:spacing w:before="226"/>
              <w:ind w:right="65"/>
              <w:jc w:val="both"/>
            </w:pPr>
            <w:r w:rsidRPr="00DC4C75">
              <w:t>Parmi les principaux objectifs de l’État Marocain, figure la consolidation d’une réelle compétitivité logistique, et vue l’impact de ce secteur sur la consécration du Maroc comme destination de choix pour les investissements créatifs d’emploi et de valeur ajoutée, ainsi que sur la croissance de la compétitivité des échanges commerciaux du Maroc. L’amélioration de la performance logistique s’avère une nouvelle priorité stratégique pour parachever le processus de renforcement de la compétitivité de l’économie marocaine. En effet, le secteur de la logistique représente aujourd’hui une part essentielle du tissu économique du Royaume. Il contribue à hauteur de 5% à la formation du PIB, emploie environ 300 000 personnes (dont 25-30% pour compte d’autrui), et apporte une contribution majeure à tout le tissu industriel et commercial du pays, contribuant ainsi à la croissance du pays en général, ainsi qu’à celle de la balance des paiements, à travers les exportations et les investissements directs</w:t>
            </w:r>
            <w:r w:rsidRPr="00DC4C75">
              <w:rPr>
                <w:spacing w:val="-1"/>
              </w:rPr>
              <w:t xml:space="preserve"> </w:t>
            </w:r>
            <w:r w:rsidRPr="00DC4C75">
              <w:t>étrangers.</w:t>
            </w:r>
          </w:p>
          <w:p w:rsidR="00FC1AAD" w:rsidRPr="00DC4C75" w:rsidRDefault="00FC1AAD" w:rsidP="00DC4C75">
            <w:pPr>
              <w:pStyle w:val="Corpsdetexte"/>
              <w:ind w:right="65"/>
              <w:jc w:val="both"/>
            </w:pPr>
            <w:r w:rsidRPr="00DC4C75">
              <w:t>Toutefois, plusieurs analystes reconnaissent qu’aujourd’hui la performance du secteur dans son ensemble reste à un stade intermédiaire, caractéristique des pays émergents, mais elle présente :</w:t>
            </w:r>
          </w:p>
          <w:p w:rsidR="00FC1AAD" w:rsidRPr="00DC4C75" w:rsidRDefault="00FC1AAD" w:rsidP="00DC4C75">
            <w:pPr>
              <w:pStyle w:val="Paragraphedeliste"/>
              <w:numPr>
                <w:ilvl w:val="0"/>
                <w:numId w:val="1"/>
              </w:numPr>
              <w:tabs>
                <w:tab w:val="left" w:pos="1477"/>
                <w:tab w:val="left" w:pos="1478"/>
              </w:tabs>
              <w:spacing w:before="4" w:line="237" w:lineRule="auto"/>
              <w:ind w:right="65"/>
              <w:rPr>
                <w:sz w:val="24"/>
              </w:rPr>
            </w:pPr>
            <w:r w:rsidRPr="00DC4C75">
              <w:rPr>
                <w:sz w:val="24"/>
              </w:rPr>
              <w:t>un fort potentiel de développement par rapport aux pays qui ont réussi leur mutation logistique</w:t>
            </w:r>
            <w:r w:rsidRPr="00DC4C75">
              <w:rPr>
                <w:spacing w:val="-1"/>
                <w:sz w:val="24"/>
              </w:rPr>
              <w:t xml:space="preserve"> </w:t>
            </w:r>
            <w:r w:rsidRPr="00DC4C75">
              <w:rPr>
                <w:sz w:val="24"/>
              </w:rPr>
              <w:t>;</w:t>
            </w:r>
          </w:p>
          <w:p w:rsidR="00FC1AAD" w:rsidRPr="00DC4C75" w:rsidRDefault="00FC1AAD" w:rsidP="00DC4C75">
            <w:pPr>
              <w:pStyle w:val="Paragraphedeliste"/>
              <w:numPr>
                <w:ilvl w:val="0"/>
                <w:numId w:val="1"/>
              </w:numPr>
              <w:tabs>
                <w:tab w:val="left" w:pos="1477"/>
                <w:tab w:val="left" w:pos="1478"/>
              </w:tabs>
              <w:spacing w:before="2" w:line="294" w:lineRule="exact"/>
              <w:ind w:right="65"/>
              <w:rPr>
                <w:sz w:val="24"/>
              </w:rPr>
            </w:pPr>
            <w:r w:rsidRPr="00DC4C75">
              <w:rPr>
                <w:sz w:val="24"/>
              </w:rPr>
              <w:t>une offre de services encore inégale (coût, qualité, délai)</w:t>
            </w:r>
            <w:r w:rsidRPr="00DC4C75">
              <w:rPr>
                <w:spacing w:val="-1"/>
                <w:sz w:val="24"/>
              </w:rPr>
              <w:t xml:space="preserve"> </w:t>
            </w:r>
            <w:r w:rsidRPr="00DC4C75">
              <w:rPr>
                <w:sz w:val="24"/>
              </w:rPr>
              <w:t>;</w:t>
            </w:r>
          </w:p>
          <w:p w:rsidR="00FC1AAD" w:rsidRPr="00DC4C75" w:rsidRDefault="00FC1AAD" w:rsidP="00DC4C75">
            <w:pPr>
              <w:pStyle w:val="Paragraphedeliste"/>
              <w:numPr>
                <w:ilvl w:val="0"/>
                <w:numId w:val="1"/>
              </w:numPr>
              <w:tabs>
                <w:tab w:val="left" w:pos="1477"/>
                <w:tab w:val="left" w:pos="1478"/>
              </w:tabs>
              <w:ind w:right="65"/>
              <w:rPr>
                <w:sz w:val="24"/>
              </w:rPr>
            </w:pPr>
            <w:r w:rsidRPr="00DC4C75">
              <w:rPr>
                <w:sz w:val="24"/>
              </w:rPr>
              <w:t>une demande en moyenne peu sophistiquée et un manque d’infrastructures spécialisées sur certains</w:t>
            </w:r>
            <w:r w:rsidRPr="00DC4C75">
              <w:rPr>
                <w:spacing w:val="-1"/>
                <w:sz w:val="24"/>
              </w:rPr>
              <w:t xml:space="preserve"> </w:t>
            </w:r>
            <w:r w:rsidRPr="00DC4C75">
              <w:rPr>
                <w:sz w:val="24"/>
              </w:rPr>
              <w:t>flux.</w:t>
            </w:r>
          </w:p>
          <w:p w:rsidR="00710BF5" w:rsidRPr="00DC4C75" w:rsidRDefault="00FC1AAD" w:rsidP="00DC4C75">
            <w:pPr>
              <w:pStyle w:val="Corpsdetexte"/>
              <w:ind w:right="65"/>
              <w:jc w:val="both"/>
            </w:pPr>
            <w:r w:rsidRPr="00DC4C75">
              <w:t xml:space="preserve">Par conséquent, afin de pallier les diverses carences, un contrat-programme portant sur une nouvelle stratégie logistique de la nation a été décidée. Elle est articulée autour de cinq axes clés, à savoir le développement et la mise en œuvre d’un réseau national intégré de </w:t>
            </w:r>
            <w:r w:rsidRPr="00DC4C75">
              <w:rPr>
                <w:b/>
                <w:bCs/>
              </w:rPr>
              <w:t>Zones logistiques multi-flux</w:t>
            </w:r>
            <w:r w:rsidRPr="00DC4C75">
              <w:t xml:space="preserve">, </w:t>
            </w:r>
            <w:r w:rsidRPr="00DC4C75">
              <w:rPr>
                <w:b/>
                <w:bCs/>
              </w:rPr>
              <w:t>l’optimisation et la massification des flux de marchandises</w:t>
            </w:r>
            <w:r w:rsidRPr="00DC4C75">
              <w:t xml:space="preserve"> (divers, </w:t>
            </w:r>
            <w:r w:rsidR="00A73586" w:rsidRPr="00DC4C75">
              <w:t>vrac</w:t>
            </w:r>
            <w:r w:rsidRPr="00DC4C75">
              <w:t xml:space="preserve"> et conteneurs import/export), la mise à niveau et l’incitation à l’émergence </w:t>
            </w:r>
            <w:r w:rsidRPr="00DC4C75">
              <w:lastRenderedPageBreak/>
              <w:t>d’acteurs logistiques intégrés et performants, le développement des compétences à travers un plan national de formation dans les métiers de la logistique et la mise en place d’un cadre de gouvernance du secteur via des mesures de régulation</w:t>
            </w:r>
            <w:r w:rsidRPr="00DC4C75">
              <w:rPr>
                <w:spacing w:val="-3"/>
              </w:rPr>
              <w:t xml:space="preserve"> </w:t>
            </w:r>
            <w:r w:rsidRPr="00DC4C75">
              <w:t xml:space="preserve">adaptées. </w:t>
            </w:r>
            <w:r w:rsidRPr="00DC4C75">
              <w:rPr>
                <w:b/>
                <w:bCs/>
              </w:rPr>
              <w:t xml:space="preserve">Les </w:t>
            </w:r>
            <w:r w:rsidR="00F97E97" w:rsidRPr="00DC4C75">
              <w:rPr>
                <w:b/>
                <w:bCs/>
              </w:rPr>
              <w:t>plateformes</w:t>
            </w:r>
            <w:r w:rsidRPr="00DC4C75">
              <w:rPr>
                <w:b/>
                <w:bCs/>
              </w:rPr>
              <w:t xml:space="preserve"> logistiques Multi-Flux </w:t>
            </w:r>
            <w:r w:rsidRPr="00DC4C75">
              <w:t>représente</w:t>
            </w:r>
            <w:r w:rsidR="00A73586" w:rsidRPr="00DC4C75">
              <w:t>nt ainsi</w:t>
            </w:r>
            <w:r w:rsidRPr="00DC4C75">
              <w:t xml:space="preserve"> un champ d’étude et de recherche d’une importance capitale. </w:t>
            </w:r>
          </w:p>
        </w:tc>
      </w:tr>
    </w:tbl>
    <w:p w:rsidR="00F024A6" w:rsidRDefault="00F024A6" w:rsidP="006732CB">
      <w:pPr>
        <w:spacing w:after="0" w:line="240" w:lineRule="auto"/>
        <w:rPr>
          <w:rFonts w:ascii="Times New Roman" w:hAnsi="Times New Roman" w:cs="Times New Roman"/>
          <w:b/>
          <w:sz w:val="28"/>
        </w:rPr>
      </w:pPr>
    </w:p>
    <w:p w:rsidR="00A52E09" w:rsidRPr="00DC4C75" w:rsidRDefault="006732CB" w:rsidP="006732CB">
      <w:pPr>
        <w:spacing w:after="0" w:line="240" w:lineRule="auto"/>
        <w:rPr>
          <w:rFonts w:ascii="Times New Roman" w:hAnsi="Times New Roman" w:cs="Times New Roman"/>
          <w:b/>
          <w:sz w:val="28"/>
        </w:rPr>
      </w:pPr>
      <w:r w:rsidRPr="00DC4C75">
        <w:rPr>
          <w:rFonts w:ascii="Times New Roman" w:hAnsi="Times New Roman" w:cs="Times New Roman"/>
          <w:b/>
          <w:sz w:val="28"/>
        </w:rPr>
        <w:t xml:space="preserve">Mots clés </w:t>
      </w:r>
    </w:p>
    <w:tbl>
      <w:tblPr>
        <w:tblStyle w:val="Grilledutableau"/>
        <w:tblW w:w="0" w:type="auto"/>
        <w:tblLook w:val="04A0"/>
      </w:tblPr>
      <w:tblGrid>
        <w:gridCol w:w="9212"/>
      </w:tblGrid>
      <w:tr w:rsidR="00A52E09" w:rsidRPr="00DC4C75" w:rsidTr="00A52E09">
        <w:tc>
          <w:tcPr>
            <w:tcW w:w="9212" w:type="dxa"/>
          </w:tcPr>
          <w:p w:rsidR="00A52E09" w:rsidRPr="00DC4C75" w:rsidRDefault="00BC0369" w:rsidP="00BC0369">
            <w:pPr>
              <w:rPr>
                <w:rFonts w:ascii="Times New Roman" w:hAnsi="Times New Roman" w:cs="Times New Roman"/>
                <w:sz w:val="24"/>
              </w:rPr>
            </w:pPr>
            <w:r w:rsidRPr="00DC4C75">
              <w:rPr>
                <w:rFonts w:ascii="Times New Roman" w:hAnsi="Times New Roman" w:cs="Times New Roman"/>
                <w:sz w:val="24"/>
              </w:rPr>
              <w:t>Affectation des nœuds</w:t>
            </w:r>
            <w:r w:rsidR="00117A79" w:rsidRPr="00DC4C75">
              <w:rPr>
                <w:rFonts w:ascii="Times New Roman" w:hAnsi="Times New Roman" w:cs="Times New Roman"/>
                <w:sz w:val="24"/>
              </w:rPr>
              <w:t xml:space="preserve">, </w:t>
            </w:r>
            <w:r w:rsidRPr="00DC4C75">
              <w:rPr>
                <w:rFonts w:ascii="Times New Roman" w:hAnsi="Times New Roman" w:cs="Times New Roman"/>
                <w:sz w:val="24"/>
              </w:rPr>
              <w:t>flux logistique</w:t>
            </w:r>
            <w:r w:rsidR="00117A79" w:rsidRPr="00DC4C75">
              <w:rPr>
                <w:rFonts w:ascii="Times New Roman" w:hAnsi="Times New Roman" w:cs="Times New Roman"/>
                <w:sz w:val="24"/>
              </w:rPr>
              <w:t xml:space="preserve">, </w:t>
            </w:r>
            <w:r w:rsidRPr="00DC4C75">
              <w:rPr>
                <w:rFonts w:ascii="Times New Roman" w:hAnsi="Times New Roman" w:cs="Times New Roman"/>
                <w:sz w:val="24"/>
              </w:rPr>
              <w:t>plateforme logistique, multi flux</w:t>
            </w:r>
          </w:p>
        </w:tc>
      </w:tr>
    </w:tbl>
    <w:p w:rsidR="00A52E09" w:rsidRPr="00BC0369" w:rsidRDefault="00A52E09" w:rsidP="00A52E09">
      <w:pPr>
        <w:rPr>
          <w:rFonts w:ascii="Times New Roman" w:hAnsi="Times New Roman" w:cs="Times New Roman"/>
          <w:b/>
          <w:sz w:val="28"/>
        </w:rPr>
      </w:pPr>
    </w:p>
    <w:p w:rsidR="00B00021" w:rsidRPr="00BC0369" w:rsidRDefault="00B00021" w:rsidP="00A52E09">
      <w:pPr>
        <w:rPr>
          <w:rFonts w:ascii="Times New Roman" w:hAnsi="Times New Roman" w:cs="Times New Roman"/>
          <w:b/>
          <w:sz w:val="28"/>
        </w:rPr>
      </w:pPr>
    </w:p>
    <w:p w:rsidR="00B00021" w:rsidRPr="007D5E9A" w:rsidRDefault="00B00021" w:rsidP="007D5E9A">
      <w:pPr>
        <w:spacing w:line="360" w:lineRule="auto"/>
        <w:jc w:val="both"/>
        <w:rPr>
          <w:rFonts w:ascii="Times New Roman" w:hAnsi="Times New Roman" w:cs="Times New Roman"/>
          <w:sz w:val="28"/>
        </w:rPr>
      </w:pPr>
      <w:r w:rsidRPr="007D5E9A">
        <w:rPr>
          <w:rFonts w:ascii="Times New Roman" w:hAnsi="Times New Roman" w:cs="Times New Roman"/>
          <w:sz w:val="28"/>
        </w:rPr>
        <w:t xml:space="preserve"> </w:t>
      </w:r>
    </w:p>
    <w:sectPr w:rsidR="00B00021" w:rsidRPr="007D5E9A" w:rsidSect="00B56C4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9F3" w:rsidRDefault="009769F3" w:rsidP="00AB6001">
      <w:pPr>
        <w:spacing w:after="0" w:line="240" w:lineRule="auto"/>
      </w:pPr>
      <w:r>
        <w:separator/>
      </w:r>
    </w:p>
  </w:endnote>
  <w:endnote w:type="continuationSeparator" w:id="1">
    <w:p w:rsidR="009769F3" w:rsidRDefault="009769F3" w:rsidP="00AB6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9F3" w:rsidRDefault="009769F3" w:rsidP="00AB6001">
      <w:pPr>
        <w:spacing w:after="0" w:line="240" w:lineRule="auto"/>
      </w:pPr>
      <w:r>
        <w:separator/>
      </w:r>
    </w:p>
  </w:footnote>
  <w:footnote w:type="continuationSeparator" w:id="1">
    <w:p w:rsidR="009769F3" w:rsidRDefault="009769F3" w:rsidP="00AB6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652"/>
      <w:gridCol w:w="2835"/>
      <w:gridCol w:w="2268"/>
    </w:tblGrid>
    <w:tr w:rsidR="00276016" w:rsidRPr="00A52E09" w:rsidTr="00276016">
      <w:trPr>
        <w:trHeight w:val="578"/>
      </w:trPr>
      <w:tc>
        <w:tcPr>
          <w:tcW w:w="3652" w:type="dxa"/>
        </w:tcPr>
        <w:p w:rsidR="00276016" w:rsidRPr="00276016" w:rsidRDefault="00276016" w:rsidP="00276016">
          <w:pPr>
            <w:spacing w:line="276" w:lineRule="auto"/>
            <w:rPr>
              <w:rFonts w:ascii="Times New Roman" w:hAnsi="Times New Roman" w:cs="Times New Roman"/>
              <w:b/>
              <w:sz w:val="24"/>
            </w:rPr>
          </w:pPr>
          <w:r w:rsidRPr="00276016">
            <w:rPr>
              <w:rFonts w:ascii="Bahnschrift" w:hAnsi="Bahnschrift"/>
              <w:b/>
              <w:sz w:val="20"/>
            </w:rPr>
            <w:t>Colloque international de la logistique et du Supply Chain Management</w:t>
          </w:r>
        </w:p>
      </w:tc>
      <w:tc>
        <w:tcPr>
          <w:tcW w:w="2835" w:type="dxa"/>
          <w:vMerge w:val="restart"/>
        </w:tcPr>
        <w:p w:rsidR="00276016" w:rsidRPr="00A52E09" w:rsidRDefault="00276016" w:rsidP="00276016">
          <w:pPr>
            <w:spacing w:line="276" w:lineRule="auto"/>
            <w:jc w:val="center"/>
            <w:rPr>
              <w:rFonts w:ascii="Bahnschrift" w:hAnsi="Bahnschrift"/>
              <w:b/>
              <w:sz w:val="28"/>
            </w:rPr>
          </w:pPr>
          <w:r w:rsidRPr="007D5E9A">
            <w:rPr>
              <w:rFonts w:ascii="Bahnschrift" w:hAnsi="Bahnschrift"/>
              <w:b/>
              <w:noProof/>
              <w:sz w:val="28"/>
              <w:lang w:eastAsia="fr-FR"/>
            </w:rPr>
            <w:drawing>
              <wp:inline distT="0" distB="0" distL="0" distR="0">
                <wp:extent cx="1012544" cy="561975"/>
                <wp:effectExtent l="19050" t="0" r="0" b="0"/>
                <wp:docPr id="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1017657" cy="564813"/>
                        </a:xfrm>
                        <a:prstGeom prst="rect">
                          <a:avLst/>
                        </a:prstGeom>
                        <a:noFill/>
                        <a:ln w="9525">
                          <a:noFill/>
                          <a:miter lim="800000"/>
                          <a:headEnd/>
                          <a:tailEnd/>
                        </a:ln>
                      </pic:spPr>
                    </pic:pic>
                  </a:graphicData>
                </a:graphic>
              </wp:inline>
            </w:drawing>
          </w:r>
        </w:p>
      </w:tc>
      <w:tc>
        <w:tcPr>
          <w:tcW w:w="2268" w:type="dxa"/>
          <w:vMerge w:val="restart"/>
        </w:tcPr>
        <w:p w:rsidR="00276016" w:rsidRPr="00A52E09" w:rsidRDefault="00276016" w:rsidP="00276016">
          <w:pPr>
            <w:spacing w:line="276" w:lineRule="auto"/>
            <w:jc w:val="right"/>
            <w:rPr>
              <w:rFonts w:ascii="Bahnschrift" w:hAnsi="Bahnschrift"/>
              <w:b/>
              <w:sz w:val="28"/>
            </w:rPr>
          </w:pPr>
          <w:r w:rsidRPr="007D5E9A">
            <w:rPr>
              <w:rFonts w:ascii="Bahnschrift" w:hAnsi="Bahnschrift"/>
              <w:b/>
              <w:noProof/>
              <w:sz w:val="28"/>
              <w:lang w:eastAsia="fr-FR"/>
            </w:rPr>
            <w:drawing>
              <wp:inline distT="0" distB="0" distL="0" distR="0">
                <wp:extent cx="1115077" cy="626159"/>
                <wp:effectExtent l="19050" t="0" r="8873" b="0"/>
                <wp:docPr id="29" name="Image 4" descr="IEEE - Faire progresser la technologie pour l'humanit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EE - Faire progresser la technologie pour l'humanitÃ©"/>
                        <pic:cNvPicPr>
                          <a:picLocks noChangeAspect="1" noChangeArrowheads="1"/>
                        </pic:cNvPicPr>
                      </pic:nvPicPr>
                      <pic:blipFill>
                        <a:blip r:embed="rId2"/>
                        <a:srcRect/>
                        <a:stretch>
                          <a:fillRect/>
                        </a:stretch>
                      </pic:blipFill>
                      <pic:spPr bwMode="auto">
                        <a:xfrm>
                          <a:off x="0" y="0"/>
                          <a:ext cx="1115077" cy="626159"/>
                        </a:xfrm>
                        <a:prstGeom prst="rect">
                          <a:avLst/>
                        </a:prstGeom>
                        <a:noFill/>
                        <a:ln w="9525">
                          <a:noFill/>
                          <a:miter lim="800000"/>
                          <a:headEnd/>
                          <a:tailEnd/>
                        </a:ln>
                      </pic:spPr>
                    </pic:pic>
                  </a:graphicData>
                </a:graphic>
              </wp:inline>
            </w:drawing>
          </w:r>
        </w:p>
      </w:tc>
    </w:tr>
    <w:tr w:rsidR="00276016" w:rsidRPr="00A52E09" w:rsidTr="00276016">
      <w:trPr>
        <w:trHeight w:val="577"/>
      </w:trPr>
      <w:tc>
        <w:tcPr>
          <w:tcW w:w="3652" w:type="dxa"/>
        </w:tcPr>
        <w:p w:rsidR="00276016" w:rsidRPr="00A52E09" w:rsidRDefault="00276016" w:rsidP="00AB6001">
          <w:pPr>
            <w:rPr>
              <w:rFonts w:ascii="Bahnschrift" w:hAnsi="Bahnschrift"/>
              <w:b/>
              <w:sz w:val="24"/>
            </w:rPr>
          </w:pPr>
          <w:r w:rsidRPr="00A52E09">
            <w:rPr>
              <w:rFonts w:ascii="Bahnschrift" w:hAnsi="Bahnschrift"/>
              <w:b/>
              <w:noProof/>
              <w:sz w:val="24"/>
              <w:lang w:eastAsia="fr-FR"/>
            </w:rPr>
            <w:drawing>
              <wp:inline distT="0" distB="0" distL="0" distR="0">
                <wp:extent cx="1276350" cy="361950"/>
                <wp:effectExtent l="19050" t="0" r="0" b="0"/>
                <wp:docPr id="30" name="Image 1" descr="E:\DD Fouad 1\3. Recherche\9. LOGISTIQUA\1. Gestion logistiqua\Logo LOGISTIQUA\logoScCon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D Fouad 1\3. Recherche\9. LOGISTIQUA\1. Gestion logistiqua\Logo LOGISTIQUA\logoScConf2.png"/>
                        <pic:cNvPicPr>
                          <a:picLocks noChangeAspect="1" noChangeArrowheads="1"/>
                        </pic:cNvPicPr>
                      </pic:nvPicPr>
                      <pic:blipFill>
                        <a:blip r:embed="rId3"/>
                        <a:srcRect/>
                        <a:stretch>
                          <a:fillRect/>
                        </a:stretch>
                      </pic:blipFill>
                      <pic:spPr bwMode="auto">
                        <a:xfrm>
                          <a:off x="0" y="0"/>
                          <a:ext cx="1276350" cy="361950"/>
                        </a:xfrm>
                        <a:prstGeom prst="rect">
                          <a:avLst/>
                        </a:prstGeom>
                        <a:noFill/>
                        <a:ln w="9525">
                          <a:noFill/>
                          <a:miter lim="800000"/>
                          <a:headEnd/>
                          <a:tailEnd/>
                        </a:ln>
                      </pic:spPr>
                    </pic:pic>
                  </a:graphicData>
                </a:graphic>
              </wp:inline>
            </w:drawing>
          </w:r>
        </w:p>
      </w:tc>
      <w:tc>
        <w:tcPr>
          <w:tcW w:w="2835" w:type="dxa"/>
          <w:vMerge/>
        </w:tcPr>
        <w:p w:rsidR="00276016" w:rsidRPr="007D5E9A" w:rsidRDefault="00276016" w:rsidP="005E0309">
          <w:pPr>
            <w:spacing w:line="276" w:lineRule="auto"/>
            <w:rPr>
              <w:rFonts w:ascii="Bahnschrift" w:hAnsi="Bahnschrift"/>
              <w:b/>
              <w:sz w:val="28"/>
            </w:rPr>
          </w:pPr>
        </w:p>
      </w:tc>
      <w:tc>
        <w:tcPr>
          <w:tcW w:w="2268" w:type="dxa"/>
          <w:vMerge/>
        </w:tcPr>
        <w:p w:rsidR="00276016" w:rsidRPr="007D5E9A" w:rsidRDefault="00276016" w:rsidP="005E0309">
          <w:pPr>
            <w:spacing w:line="276" w:lineRule="auto"/>
            <w:rPr>
              <w:rFonts w:ascii="Bahnschrift" w:hAnsi="Bahnschrift"/>
              <w:b/>
              <w:sz w:val="28"/>
            </w:rPr>
          </w:pPr>
        </w:p>
      </w:tc>
    </w:tr>
  </w:tbl>
  <w:p w:rsidR="00AB6001" w:rsidRDefault="00AB600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06E0D"/>
    <w:multiLevelType w:val="hybridMultilevel"/>
    <w:tmpl w:val="5FCC8F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A54EAC"/>
    <w:multiLevelType w:val="hybridMultilevel"/>
    <w:tmpl w:val="AD18F59C"/>
    <w:lvl w:ilvl="0" w:tplc="191E1DD6">
      <w:numFmt w:val="bullet"/>
      <w:lvlText w:val=""/>
      <w:lvlJc w:val="left"/>
      <w:pPr>
        <w:ind w:left="360" w:hanging="360"/>
      </w:pPr>
      <w:rPr>
        <w:rFonts w:ascii="Symbol" w:eastAsia="Symbol" w:hAnsi="Symbol" w:cs="Symbol" w:hint="default"/>
        <w:w w:val="100"/>
        <w:sz w:val="24"/>
        <w:szCs w:val="24"/>
        <w:lang w:val="fr-FR" w:eastAsia="fr-FR" w:bidi="fr-FR"/>
      </w:rPr>
    </w:lvl>
    <w:lvl w:ilvl="1" w:tplc="EF6ED33C">
      <w:numFmt w:val="bullet"/>
      <w:lvlText w:val="•"/>
      <w:lvlJc w:val="left"/>
      <w:pPr>
        <w:ind w:left="1303" w:hanging="360"/>
      </w:pPr>
      <w:rPr>
        <w:rFonts w:hint="default"/>
        <w:lang w:val="fr-FR" w:eastAsia="fr-FR" w:bidi="fr-FR"/>
      </w:rPr>
    </w:lvl>
    <w:lvl w:ilvl="2" w:tplc="245E6BDA">
      <w:numFmt w:val="bullet"/>
      <w:lvlText w:val="•"/>
      <w:lvlJc w:val="left"/>
      <w:pPr>
        <w:ind w:left="2244" w:hanging="360"/>
      </w:pPr>
      <w:rPr>
        <w:rFonts w:hint="default"/>
        <w:lang w:val="fr-FR" w:eastAsia="fr-FR" w:bidi="fr-FR"/>
      </w:rPr>
    </w:lvl>
    <w:lvl w:ilvl="3" w:tplc="1410F31E">
      <w:numFmt w:val="bullet"/>
      <w:lvlText w:val="•"/>
      <w:lvlJc w:val="left"/>
      <w:pPr>
        <w:ind w:left="3184" w:hanging="360"/>
      </w:pPr>
      <w:rPr>
        <w:rFonts w:hint="default"/>
        <w:lang w:val="fr-FR" w:eastAsia="fr-FR" w:bidi="fr-FR"/>
      </w:rPr>
    </w:lvl>
    <w:lvl w:ilvl="4" w:tplc="86C6F916">
      <w:numFmt w:val="bullet"/>
      <w:lvlText w:val="•"/>
      <w:lvlJc w:val="left"/>
      <w:pPr>
        <w:ind w:left="4125" w:hanging="360"/>
      </w:pPr>
      <w:rPr>
        <w:rFonts w:hint="default"/>
        <w:lang w:val="fr-FR" w:eastAsia="fr-FR" w:bidi="fr-FR"/>
      </w:rPr>
    </w:lvl>
    <w:lvl w:ilvl="5" w:tplc="8878DD78">
      <w:numFmt w:val="bullet"/>
      <w:lvlText w:val="•"/>
      <w:lvlJc w:val="left"/>
      <w:pPr>
        <w:ind w:left="5066" w:hanging="360"/>
      </w:pPr>
      <w:rPr>
        <w:rFonts w:hint="default"/>
        <w:lang w:val="fr-FR" w:eastAsia="fr-FR" w:bidi="fr-FR"/>
      </w:rPr>
    </w:lvl>
    <w:lvl w:ilvl="6" w:tplc="E58CE45A">
      <w:numFmt w:val="bullet"/>
      <w:lvlText w:val="•"/>
      <w:lvlJc w:val="left"/>
      <w:pPr>
        <w:ind w:left="6006" w:hanging="360"/>
      </w:pPr>
      <w:rPr>
        <w:rFonts w:hint="default"/>
        <w:lang w:val="fr-FR" w:eastAsia="fr-FR" w:bidi="fr-FR"/>
      </w:rPr>
    </w:lvl>
    <w:lvl w:ilvl="7" w:tplc="EFAE8716">
      <w:numFmt w:val="bullet"/>
      <w:lvlText w:val="•"/>
      <w:lvlJc w:val="left"/>
      <w:pPr>
        <w:ind w:left="6947" w:hanging="360"/>
      </w:pPr>
      <w:rPr>
        <w:rFonts w:hint="default"/>
        <w:lang w:val="fr-FR" w:eastAsia="fr-FR" w:bidi="fr-FR"/>
      </w:rPr>
    </w:lvl>
    <w:lvl w:ilvl="8" w:tplc="EAFEADDA">
      <w:numFmt w:val="bullet"/>
      <w:lvlText w:val="•"/>
      <w:lvlJc w:val="left"/>
      <w:pPr>
        <w:ind w:left="7888" w:hanging="360"/>
      </w:pPr>
      <w:rPr>
        <w:rFonts w:hint="default"/>
        <w:lang w:val="fr-FR" w:eastAsia="fr-FR" w:bidi="fr-FR"/>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2E09"/>
    <w:rsid w:val="0004667F"/>
    <w:rsid w:val="00117A79"/>
    <w:rsid w:val="00161B1C"/>
    <w:rsid w:val="001A6BD1"/>
    <w:rsid w:val="001B15F8"/>
    <w:rsid w:val="001C0AF6"/>
    <w:rsid w:val="001E6C99"/>
    <w:rsid w:val="00266947"/>
    <w:rsid w:val="00276016"/>
    <w:rsid w:val="002C2044"/>
    <w:rsid w:val="00335B83"/>
    <w:rsid w:val="00343B56"/>
    <w:rsid w:val="0041617C"/>
    <w:rsid w:val="00432341"/>
    <w:rsid w:val="00481E8F"/>
    <w:rsid w:val="00513C0C"/>
    <w:rsid w:val="005A3FCB"/>
    <w:rsid w:val="005B1D82"/>
    <w:rsid w:val="005E5EEB"/>
    <w:rsid w:val="005F2121"/>
    <w:rsid w:val="006732CB"/>
    <w:rsid w:val="0068296F"/>
    <w:rsid w:val="006B6C0C"/>
    <w:rsid w:val="00710BF5"/>
    <w:rsid w:val="007D5E9A"/>
    <w:rsid w:val="007E16B0"/>
    <w:rsid w:val="00871137"/>
    <w:rsid w:val="008C21CA"/>
    <w:rsid w:val="0097059A"/>
    <w:rsid w:val="009769F3"/>
    <w:rsid w:val="00995432"/>
    <w:rsid w:val="00A52E09"/>
    <w:rsid w:val="00A65F37"/>
    <w:rsid w:val="00A73586"/>
    <w:rsid w:val="00AB6001"/>
    <w:rsid w:val="00B00021"/>
    <w:rsid w:val="00B56C44"/>
    <w:rsid w:val="00BC0369"/>
    <w:rsid w:val="00C706A9"/>
    <w:rsid w:val="00D60FB2"/>
    <w:rsid w:val="00DC4C75"/>
    <w:rsid w:val="00E02951"/>
    <w:rsid w:val="00E3140E"/>
    <w:rsid w:val="00E76163"/>
    <w:rsid w:val="00EF73FF"/>
    <w:rsid w:val="00F024A6"/>
    <w:rsid w:val="00F97E97"/>
    <w:rsid w:val="00FB4A2C"/>
    <w:rsid w:val="00FC1AAD"/>
    <w:rsid w:val="00FE4B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2E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2E09"/>
    <w:rPr>
      <w:rFonts w:ascii="Tahoma" w:hAnsi="Tahoma" w:cs="Tahoma"/>
      <w:sz w:val="16"/>
      <w:szCs w:val="16"/>
    </w:rPr>
  </w:style>
  <w:style w:type="table" w:styleId="Grilledutableau">
    <w:name w:val="Table Grid"/>
    <w:basedOn w:val="TableauNormal"/>
    <w:uiPriority w:val="39"/>
    <w:rsid w:val="00A52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AB600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B6001"/>
  </w:style>
  <w:style w:type="paragraph" w:styleId="Pieddepage">
    <w:name w:val="footer"/>
    <w:basedOn w:val="Normal"/>
    <w:link w:val="PieddepageCar"/>
    <w:uiPriority w:val="99"/>
    <w:semiHidden/>
    <w:unhideWhenUsed/>
    <w:rsid w:val="00AB600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B6001"/>
  </w:style>
  <w:style w:type="character" w:styleId="lev">
    <w:name w:val="Strong"/>
    <w:basedOn w:val="Policepardfaut"/>
    <w:uiPriority w:val="22"/>
    <w:qFormat/>
    <w:rsid w:val="00710BF5"/>
    <w:rPr>
      <w:b/>
      <w:bCs/>
    </w:rPr>
  </w:style>
  <w:style w:type="character" w:styleId="Lienhypertexte">
    <w:name w:val="Hyperlink"/>
    <w:basedOn w:val="Policepardfaut"/>
    <w:uiPriority w:val="99"/>
    <w:unhideWhenUsed/>
    <w:rsid w:val="00266947"/>
    <w:rPr>
      <w:color w:val="0563C1" w:themeColor="hyperlink"/>
      <w:u w:val="single"/>
    </w:rPr>
  </w:style>
  <w:style w:type="character" w:customStyle="1" w:styleId="UnresolvedMention">
    <w:name w:val="Unresolved Mention"/>
    <w:basedOn w:val="Policepardfaut"/>
    <w:uiPriority w:val="99"/>
    <w:semiHidden/>
    <w:unhideWhenUsed/>
    <w:rsid w:val="00266947"/>
    <w:rPr>
      <w:color w:val="605E5C"/>
      <w:shd w:val="clear" w:color="auto" w:fill="E1DFDD"/>
    </w:rPr>
  </w:style>
  <w:style w:type="paragraph" w:styleId="Corpsdetexte">
    <w:name w:val="Body Text"/>
    <w:basedOn w:val="Normal"/>
    <w:link w:val="CorpsdetexteCar"/>
    <w:uiPriority w:val="1"/>
    <w:qFormat/>
    <w:rsid w:val="00FC1AAD"/>
    <w:pPr>
      <w:widowControl w:val="0"/>
      <w:autoSpaceDE w:val="0"/>
      <w:autoSpaceDN w:val="0"/>
      <w:spacing w:after="0" w:line="240" w:lineRule="auto"/>
    </w:pPr>
    <w:rPr>
      <w:rFonts w:ascii="Times New Roman" w:eastAsia="Times New Roman" w:hAnsi="Times New Roman" w:cs="Times New Roman"/>
      <w:sz w:val="24"/>
      <w:szCs w:val="24"/>
      <w:lang w:eastAsia="fr-FR" w:bidi="fr-FR"/>
    </w:rPr>
  </w:style>
  <w:style w:type="character" w:customStyle="1" w:styleId="CorpsdetexteCar">
    <w:name w:val="Corps de texte Car"/>
    <w:basedOn w:val="Policepardfaut"/>
    <w:link w:val="Corpsdetexte"/>
    <w:uiPriority w:val="1"/>
    <w:rsid w:val="00FC1AAD"/>
    <w:rPr>
      <w:rFonts w:ascii="Times New Roman" w:eastAsia="Times New Roman" w:hAnsi="Times New Roman" w:cs="Times New Roman"/>
      <w:sz w:val="24"/>
      <w:szCs w:val="24"/>
      <w:lang w:eastAsia="fr-FR" w:bidi="fr-FR"/>
    </w:rPr>
  </w:style>
  <w:style w:type="paragraph" w:styleId="Paragraphedeliste">
    <w:name w:val="List Paragraph"/>
    <w:basedOn w:val="Normal"/>
    <w:uiPriority w:val="1"/>
    <w:qFormat/>
    <w:rsid w:val="00FC1AAD"/>
    <w:pPr>
      <w:widowControl w:val="0"/>
      <w:autoSpaceDE w:val="0"/>
      <w:autoSpaceDN w:val="0"/>
      <w:spacing w:after="0" w:line="240" w:lineRule="auto"/>
      <w:ind w:left="1477" w:hanging="360"/>
    </w:pPr>
    <w:rPr>
      <w:rFonts w:ascii="Times New Roman" w:eastAsia="Times New Roman" w:hAnsi="Times New Roman" w:cs="Times New Roman"/>
      <w:lang w:eastAsia="fr-FR" w:bidi="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boumane@gmail.com" TargetMode="External"/><Relationship Id="rId3" Type="http://schemas.openxmlformats.org/officeDocument/2006/relationships/settings" Target="settings.xml"/><Relationship Id="rId7" Type="http://schemas.openxmlformats.org/officeDocument/2006/relationships/hyperlink" Target="mailto:kmach@ensat.ac.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Pr.jawab</dc:creator>
  <cp:lastModifiedBy>Pr.jawab</cp:lastModifiedBy>
  <cp:revision>3</cp:revision>
  <dcterms:created xsi:type="dcterms:W3CDTF">2018-10-17T18:20:00Z</dcterms:created>
  <dcterms:modified xsi:type="dcterms:W3CDTF">2018-10-22T18:05:00Z</dcterms:modified>
</cp:coreProperties>
</file>