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 xml:space="preserve">IUT  Montreuil  </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74395A" w:rsidRDefault="0074395A" w:rsidP="00A52E09">
      <w:pPr>
        <w:jc w:val="center"/>
        <w:rPr>
          <w:rFonts w:ascii="Arial" w:hAnsi="Arial"/>
          <w:b/>
          <w:sz w:val="28"/>
        </w:rPr>
      </w:pPr>
      <w:r>
        <w:rPr>
          <w:rFonts w:ascii="Arial" w:hAnsi="Arial"/>
          <w:b/>
          <w:sz w:val="28"/>
        </w:rPr>
        <w:t>Workshop</w:t>
      </w:r>
    </w:p>
    <w:p w:rsidR="00A52E09" w:rsidRPr="00C002F4" w:rsidRDefault="00A52E09" w:rsidP="00A52E09">
      <w:pPr>
        <w:jc w:val="center"/>
        <w:rPr>
          <w:rFonts w:ascii="Times New Roman" w:hAnsi="Times New Roman" w:cs="Times New Roman"/>
          <w:b/>
          <w:sz w:val="28"/>
        </w:rPr>
      </w:pPr>
      <w:r w:rsidRPr="00C002F4">
        <w:rPr>
          <w:rFonts w:ascii="Times New Roman" w:hAnsi="Times New Roman" w:cs="Times New Roman"/>
          <w:b/>
          <w:sz w:val="28"/>
        </w:rPr>
        <w:t>Intitulé</w:t>
      </w:r>
      <w:r w:rsidR="007D61E2" w:rsidRPr="00C002F4">
        <w:rPr>
          <w:rFonts w:ascii="Times New Roman" w:hAnsi="Times New Roman" w:cs="Times New Roman"/>
          <w:b/>
          <w:sz w:val="28"/>
        </w:rPr>
        <w:t xml:space="preserve"> : </w:t>
      </w:r>
      <w:r w:rsidR="007D61E2" w:rsidRPr="00C002F4">
        <w:rPr>
          <w:rFonts w:ascii="Times New Roman" w:hAnsi="Times New Roman" w:cs="Times New Roman"/>
          <w:b/>
          <w:bCs/>
          <w:sz w:val="28"/>
        </w:rPr>
        <w:t>Vers une logistique durable et compétitive</w:t>
      </w:r>
    </w:p>
    <w:p w:rsidR="00A52E09" w:rsidRDefault="00A52E09" w:rsidP="00A52E09">
      <w:pPr>
        <w:jc w:val="center"/>
        <w:rPr>
          <w:rFonts w:ascii="Times New Roman" w:hAnsi="Times New Roman" w:cs="Times New Roman"/>
          <w:b/>
          <w:sz w:val="28"/>
        </w:rPr>
      </w:pPr>
    </w:p>
    <w:p w:rsidR="00A52E09" w:rsidRDefault="0074395A" w:rsidP="00A52E09">
      <w:pPr>
        <w:rPr>
          <w:rFonts w:ascii="Times New Roman" w:hAnsi="Times New Roman" w:cs="Times New Roman"/>
          <w:b/>
          <w:sz w:val="28"/>
        </w:rPr>
      </w:pPr>
      <w:r>
        <w:rPr>
          <w:rFonts w:ascii="Times New Roman" w:hAnsi="Times New Roman" w:cs="Times New Roman"/>
          <w:b/>
          <w:sz w:val="28"/>
        </w:rPr>
        <w:t>Organisé</w:t>
      </w:r>
      <w:r w:rsidR="00A52E09">
        <w:rPr>
          <w:rFonts w:ascii="Times New Roman" w:hAnsi="Times New Roman" w:cs="Times New Roman"/>
          <w:b/>
          <w:sz w:val="28"/>
        </w:rPr>
        <w:t xml:space="preserve"> par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A52E09" w:rsidRPr="00C657FF" w:rsidRDefault="009E2303" w:rsidP="00BE4E4F">
            <w:pPr>
              <w:spacing w:after="0" w:line="240" w:lineRule="auto"/>
              <w:rPr>
                <w:rFonts w:ascii="Times New Roman" w:hAnsi="Times New Roman" w:cs="Times New Roman"/>
                <w:sz w:val="28"/>
              </w:rPr>
            </w:pPr>
            <w:r w:rsidRPr="00C657FF">
              <w:rPr>
                <w:rFonts w:ascii="Times New Roman" w:hAnsi="Times New Roman" w:cs="Times New Roman"/>
                <w:sz w:val="24"/>
              </w:rPr>
              <w:t>EL HAOUD</w:t>
            </w:r>
            <w:r w:rsidR="00A52E09" w:rsidRPr="00C657FF">
              <w:rPr>
                <w:rFonts w:ascii="Times New Roman" w:hAnsi="Times New Roman" w:cs="Times New Roman"/>
                <w:sz w:val="24"/>
              </w:rPr>
              <w:t xml:space="preserve">, </w:t>
            </w:r>
            <w:r w:rsidRPr="00C657FF">
              <w:rPr>
                <w:rFonts w:ascii="Times New Roman" w:hAnsi="Times New Roman" w:cs="Times New Roman"/>
                <w:sz w:val="24"/>
              </w:rPr>
              <w:t>NAIMA</w:t>
            </w:r>
            <w:r w:rsidR="00A52E09" w:rsidRPr="00C657FF">
              <w:rPr>
                <w:rFonts w:ascii="Times New Roman" w:hAnsi="Times New Roman" w:cs="Times New Roman"/>
                <w:sz w:val="24"/>
              </w:rPr>
              <w:t xml:space="preserve">, </w:t>
            </w:r>
            <w:r w:rsidRPr="00C657FF">
              <w:rPr>
                <w:rFonts w:ascii="Times New Roman" w:hAnsi="Times New Roman" w:cs="Times New Roman"/>
                <w:sz w:val="24"/>
              </w:rPr>
              <w:t xml:space="preserve">ENCG C UNIVERSITE HASSAN 2 CASABLANCA. MAROC. </w:t>
            </w:r>
            <w:hyperlink r:id="rId6" w:history="1">
              <w:r w:rsidRPr="00C657FF">
                <w:rPr>
                  <w:rStyle w:val="Lienhypertexte"/>
                  <w:rFonts w:ascii="Times New Roman" w:hAnsi="Times New Roman" w:cs="Times New Roman"/>
                  <w:sz w:val="24"/>
                </w:rPr>
                <w:t>znelhaoud@gmail.com</w:t>
              </w:r>
            </w:hyperlink>
            <w:r w:rsidRPr="00C657FF">
              <w:rPr>
                <w:rFonts w:ascii="Times New Roman" w:hAnsi="Times New Roman" w:cs="Times New Roman"/>
                <w:sz w:val="24"/>
              </w:rPr>
              <w:t>,</w:t>
            </w:r>
            <w:r w:rsidR="00BC744D" w:rsidRPr="00C657FF">
              <w:rPr>
                <w:rFonts w:ascii="Roboto" w:hAnsi="Roboto"/>
                <w:color w:val="3C4043"/>
                <w:sz w:val="20"/>
                <w:szCs w:val="20"/>
              </w:rPr>
              <w:t xml:space="preserve"> </w:t>
            </w:r>
            <w:r w:rsidR="00C002F4">
              <w:rPr>
                <w:rFonts w:ascii="Roboto" w:hAnsi="Roboto"/>
                <w:b/>
                <w:color w:val="FF0000"/>
                <w:sz w:val="20"/>
                <w:szCs w:val="20"/>
              </w:rPr>
              <w:t xml:space="preserve"> </w:t>
            </w:r>
            <w:r w:rsidR="00C002F4" w:rsidRPr="00102F43">
              <w:rPr>
                <w:rFonts w:ascii="Ubuntu" w:hAnsi="Ubuntu" w:cs="Ubuntu"/>
                <w:sz w:val="20"/>
                <w:szCs w:val="20"/>
              </w:rPr>
              <w:t>E</w:t>
            </w:r>
            <w:r w:rsidR="00C002F4">
              <w:rPr>
                <w:rFonts w:ascii="Ubuntu" w:hAnsi="Ubuntu" w:cs="Ubuntu"/>
                <w:sz w:val="20"/>
                <w:szCs w:val="20"/>
              </w:rPr>
              <w:t>NCG</w:t>
            </w:r>
            <w:r w:rsidR="00C002F4" w:rsidRPr="00102F43">
              <w:rPr>
                <w:rFonts w:ascii="Ubuntu" w:hAnsi="Ubuntu" w:cs="Ubuntu"/>
                <w:sz w:val="20"/>
                <w:szCs w:val="20"/>
              </w:rPr>
              <w:t xml:space="preserve">, </w:t>
            </w:r>
            <w:r w:rsidR="00C002F4" w:rsidRPr="0031490D">
              <w:rPr>
                <w:rFonts w:ascii="Ubuntu" w:hAnsi="Ubuntu" w:cs="Ubuntu"/>
                <w:sz w:val="20"/>
                <w:szCs w:val="20"/>
              </w:rPr>
              <w:t>Casablanca, Maroc.</w:t>
            </w:r>
          </w:p>
        </w:tc>
      </w:tr>
    </w:tbl>
    <w:p w:rsidR="00A52E09" w:rsidRDefault="00A52E09" w:rsidP="00A52E09">
      <w:pPr>
        <w:rPr>
          <w:rFonts w:ascii="Times New Roman" w:hAnsi="Times New Roman" w:cs="Times New Roman"/>
          <w:b/>
          <w:sz w:val="28"/>
        </w:rPr>
      </w:pPr>
    </w:p>
    <w:p w:rsidR="006732CB" w:rsidRDefault="006732CB" w:rsidP="006732CB">
      <w:pPr>
        <w:spacing w:after="0" w:line="240" w:lineRule="auto"/>
        <w:rPr>
          <w:rFonts w:ascii="Times New Roman" w:hAnsi="Times New Roman" w:cs="Times New Roman"/>
          <w:b/>
          <w:sz w:val="28"/>
        </w:rPr>
      </w:pPr>
      <w:r>
        <w:rPr>
          <w:rFonts w:ascii="Times New Roman" w:hAnsi="Times New Roman" w:cs="Times New Roman"/>
          <w:b/>
          <w:sz w:val="28"/>
        </w:rPr>
        <w:t xml:space="preserve">Thèmes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732CB" w:rsidRPr="00C657FF" w:rsidTr="00C657FF">
        <w:tc>
          <w:tcPr>
            <w:tcW w:w="9212" w:type="dxa"/>
          </w:tcPr>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657FF">
              <w:rPr>
                <w:rFonts w:ascii="Symbol" w:hAnsi="Symbol" w:cs="Symbol"/>
                <w:sz w:val="20"/>
                <w:szCs w:val="20"/>
              </w:rPr>
              <w:t></w:t>
            </w:r>
            <w:r w:rsidRPr="00C657FF">
              <w:rPr>
                <w:rFonts w:ascii="Symbol" w:hAnsi="Symbol" w:cs="Symbol"/>
                <w:sz w:val="20"/>
                <w:szCs w:val="20"/>
              </w:rPr>
              <w:t></w:t>
            </w:r>
            <w:r w:rsidRPr="00C002F4">
              <w:rPr>
                <w:rFonts w:ascii="Times New Roman" w:hAnsi="Times New Roman" w:cs="Times New Roman"/>
                <w:sz w:val="24"/>
                <w:szCs w:val="24"/>
              </w:rPr>
              <w:t>Logistique et territoire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écologie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verte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société</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Reverse logistique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Métiers de la logistique</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media</w:t>
            </w:r>
          </w:p>
          <w:p w:rsidR="007D61E2" w:rsidRPr="00C002F4" w:rsidRDefault="007D61E2" w:rsidP="007D61E2">
            <w:pPr>
              <w:autoSpaceDE w:val="0"/>
              <w:autoSpaceDN w:val="0"/>
              <w:adjustRightInd w:val="0"/>
              <w:spacing w:after="0" w:line="240" w:lineRule="auto"/>
              <w:jc w:val="both"/>
              <w:rPr>
                <w:rFonts w:ascii="Times New Roman" w:hAnsi="Times New Roman" w:cs="Times New Roman"/>
                <w:sz w:val="24"/>
                <w:szCs w:val="24"/>
              </w:rPr>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infrastructures</w:t>
            </w:r>
          </w:p>
          <w:p w:rsidR="006732CB" w:rsidRPr="007D61E2" w:rsidRDefault="007D61E2" w:rsidP="007D61E2">
            <w:pPr>
              <w:spacing w:after="0" w:line="240" w:lineRule="auto"/>
              <w:jc w:val="both"/>
            </w:pPr>
            <w:r w:rsidRPr="00C002F4">
              <w:rPr>
                <w:rFonts w:ascii="Symbol" w:hAnsi="Symbol" w:cs="Symbol"/>
                <w:sz w:val="20"/>
                <w:szCs w:val="20"/>
              </w:rPr>
              <w:t></w:t>
            </w:r>
            <w:r w:rsidRPr="00C002F4">
              <w:rPr>
                <w:rFonts w:ascii="Symbol" w:hAnsi="Symbol" w:cs="Symbol"/>
                <w:sz w:val="20"/>
                <w:szCs w:val="20"/>
              </w:rPr>
              <w:t></w:t>
            </w:r>
            <w:r w:rsidRPr="00C002F4">
              <w:rPr>
                <w:rFonts w:ascii="Times New Roman" w:hAnsi="Times New Roman" w:cs="Times New Roman"/>
                <w:sz w:val="24"/>
                <w:szCs w:val="24"/>
              </w:rPr>
              <w:t>Logistique et matières dangereuses</w:t>
            </w:r>
          </w:p>
        </w:tc>
      </w:tr>
    </w:tbl>
    <w:p w:rsidR="00A52E09" w:rsidRDefault="00A52E09" w:rsidP="00A52E09">
      <w:pPr>
        <w:rPr>
          <w:rFonts w:ascii="Times New Roman" w:hAnsi="Times New Roman" w:cs="Times New Roman"/>
          <w:b/>
          <w:sz w:val="28"/>
        </w:rPr>
      </w:pPr>
    </w:p>
    <w:p w:rsidR="00A52E09" w:rsidRDefault="00A52E09" w:rsidP="006732CB">
      <w:pPr>
        <w:spacing w:after="0" w:line="240" w:lineRule="auto"/>
        <w:rPr>
          <w:rFonts w:ascii="Times New Roman" w:hAnsi="Times New Roman" w:cs="Times New Roman"/>
          <w:b/>
          <w:sz w:val="28"/>
        </w:rPr>
      </w:pPr>
      <w:r>
        <w:rPr>
          <w:rFonts w:ascii="Times New Roman" w:hAnsi="Times New Roman" w:cs="Times New Roman"/>
          <w:b/>
          <w:sz w:val="28"/>
        </w:rPr>
        <w:t>Résumé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La logistique s'étend de bout en bout de la chaîne de valeur où son rôle consiste à relier les deux pôles de l’économie en synchronisant efficacement et aux meilleures conditions économiques la chaîne de l’offre avec la demande réelle des consommateurs, aussi complexe, incertaine et fluctuante soit-elle. Alignée sur la stratégie de l’entreprise, bien orchestrée et</w:t>
            </w:r>
            <w:r w:rsidR="00C002F4">
              <w:rPr>
                <w:rFonts w:ascii="Times New Roman" w:hAnsi="Times New Roman" w:cs="Times New Roman"/>
                <w:sz w:val="24"/>
                <w:szCs w:val="24"/>
              </w:rPr>
              <w:t xml:space="preserve"> </w:t>
            </w:r>
            <w:r w:rsidRPr="00C657FF">
              <w:rPr>
                <w:rFonts w:ascii="Times New Roman" w:hAnsi="Times New Roman" w:cs="Times New Roman"/>
                <w:sz w:val="24"/>
                <w:szCs w:val="24"/>
              </w:rPr>
              <w:t>intégrée, elle permet selon la devise de Christopher (2005) de faire « mieux, plus vite, moins cher et plus proche » pour l’obtention d’avantages concurrentiels. En effet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mieux, en livrant des commandes parfaites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plus vite, en réduisant les délais et en éliminant les activités inutiles qui entravent la circulation des flux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moins cher, en réduisant les stocks, les coûts d’exploitation et les coûts de structure qui alourdissent la chaîne logistique ;</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plus proche, en fidélisant les clients à travers l’offre de services à valeur ajoutée tels que la personnalisation des produits, la réactivité à la demande, la traçabilité des flux, le suivi de commande via Internet, etc.</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Cette vision séduisante est cependant difficile à atteindre. Elle demande une démarche progressive et dépend surtout de la capacité des entreprises à moderniser leurs méthodes de travail, à intégrer le processus logistique, à comprimer les coûts et les délais, à mesurer les performances, à automatiser les échanges d’information.</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 xml:space="preserve">L’intégration du développement durable fait émerger deux nouvelles dimensions – sociale et environnementale. Celles-ci s’ajoutent au défi économique des </w:t>
            </w:r>
            <w:r w:rsidRPr="00C657FF">
              <w:rPr>
                <w:rFonts w:ascii="Times New Roman" w:hAnsi="Times New Roman" w:cs="Times New Roman"/>
                <w:i/>
                <w:iCs/>
                <w:sz w:val="24"/>
                <w:szCs w:val="24"/>
              </w:rPr>
              <w:t xml:space="preserve">supply chain </w:t>
            </w:r>
            <w:r w:rsidRPr="00C657FF">
              <w:rPr>
                <w:rFonts w:ascii="Times New Roman" w:hAnsi="Times New Roman" w:cs="Times New Roman"/>
                <w:sz w:val="24"/>
                <w:szCs w:val="24"/>
              </w:rPr>
              <w:t>managers qui, notons-le, ne disposent pas encore d’une logistique compétitive – notamment dans les petites</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lastRenderedPageBreak/>
              <w:t>et moyennes entreprises – qu’ils doivent maintenant intégrer de nouvelles exigences environnementales et sociales. Généralement, les trois axes à concilier ne sont pas antinomiques – l’économique allant dans le sens de l’environnemental et du social – bien que cette affirmation reste à démontrer.</w:t>
            </w:r>
          </w:p>
          <w:p w:rsidR="00962CB7" w:rsidRPr="00C657FF" w:rsidRDefault="00962CB7" w:rsidP="00C657FF">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Différentes initiatives en faveur d’une logistique orientée vers les exigences du développement durable sont prises. Par exemple, dans le secteur des produits de grande consommation, le Global Commerce Initiative (GCI) a défini les changements clés à opérer en vue de la future supplychain.</w:t>
            </w:r>
          </w:p>
          <w:p w:rsidR="00A52E09" w:rsidRPr="007D61E2" w:rsidRDefault="00962CB7" w:rsidP="007D61E2">
            <w:pPr>
              <w:autoSpaceDE w:val="0"/>
              <w:autoSpaceDN w:val="0"/>
              <w:adjustRightInd w:val="0"/>
              <w:spacing w:after="0" w:line="240" w:lineRule="auto"/>
              <w:jc w:val="both"/>
              <w:rPr>
                <w:rFonts w:ascii="Times New Roman" w:hAnsi="Times New Roman" w:cs="Times New Roman"/>
                <w:sz w:val="24"/>
                <w:szCs w:val="24"/>
              </w:rPr>
            </w:pPr>
            <w:r w:rsidRPr="00C657FF">
              <w:rPr>
                <w:rFonts w:ascii="Times New Roman" w:hAnsi="Times New Roman" w:cs="Times New Roman"/>
                <w:sz w:val="24"/>
                <w:szCs w:val="24"/>
              </w:rPr>
              <w:t>Cette session suggère des échanges autour de diverses questions vitales telles que la compétitivité des entreprises, le développement durable et la logistique dans le sens de discuter la possibilité pour les entreprises d’avoir une logistique compétitive et tenant compte de la contrainte du développement durable.</w:t>
            </w:r>
          </w:p>
        </w:tc>
      </w:tr>
    </w:tbl>
    <w:p w:rsidR="00A52E09" w:rsidRDefault="00A52E09" w:rsidP="00A52E09">
      <w:pPr>
        <w:rPr>
          <w:rFonts w:ascii="Times New Roman" w:hAnsi="Times New Roman" w:cs="Times New Roman"/>
          <w:b/>
          <w:sz w:val="28"/>
        </w:rPr>
      </w:pPr>
    </w:p>
    <w:p w:rsidR="00A52E09" w:rsidRPr="006732CB" w:rsidRDefault="006732CB" w:rsidP="006732CB">
      <w:pPr>
        <w:spacing w:after="0" w:line="240" w:lineRule="auto"/>
        <w:rPr>
          <w:rFonts w:ascii="Times New Roman" w:hAnsi="Times New Roman" w:cs="Times New Roman"/>
          <w:b/>
          <w:sz w:val="28"/>
        </w:rPr>
      </w:pPr>
      <w:r>
        <w:rPr>
          <w:rFonts w:ascii="Times New Roman" w:hAnsi="Times New Roman" w:cs="Times New Roman"/>
          <w:b/>
          <w:sz w:val="28"/>
        </w:rPr>
        <w:t>Mots clé</w:t>
      </w:r>
      <w:r w:rsidRPr="006732CB">
        <w:rPr>
          <w:rFonts w:ascii="Times New Roman" w:hAnsi="Times New Roman" w:cs="Times New Roman"/>
          <w:b/>
          <w:sz w:val="28"/>
        </w:rPr>
        <w:t>s</w:t>
      </w:r>
      <w:r>
        <w:rPr>
          <w:rFonts w:ascii="Times New Roman" w:hAnsi="Times New Roman" w:cs="Times New Roman"/>
          <w:b/>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A52E09" w:rsidRPr="00C657FF" w:rsidRDefault="007D61E2" w:rsidP="00C657FF">
            <w:pPr>
              <w:spacing w:after="0" w:line="240" w:lineRule="auto"/>
              <w:rPr>
                <w:rFonts w:ascii="Times New Roman" w:hAnsi="Times New Roman" w:cs="Times New Roman"/>
                <w:bCs/>
                <w:sz w:val="24"/>
                <w:szCs w:val="24"/>
              </w:rPr>
            </w:pPr>
            <w:r>
              <w:rPr>
                <w:rFonts w:ascii="Times New Roman" w:hAnsi="Times New Roman" w:cs="Times New Roman"/>
                <w:bCs/>
                <w:sz w:val="24"/>
                <w:szCs w:val="24"/>
              </w:rPr>
              <w:t>Développement durable, S</w:t>
            </w:r>
            <w:r w:rsidR="00962CB7" w:rsidRPr="00C657FF">
              <w:rPr>
                <w:rFonts w:ascii="Times New Roman" w:hAnsi="Times New Roman" w:cs="Times New Roman"/>
                <w:bCs/>
                <w:sz w:val="24"/>
                <w:szCs w:val="24"/>
              </w:rPr>
              <w:t>upply</w:t>
            </w:r>
            <w:r>
              <w:rPr>
                <w:rFonts w:ascii="Times New Roman" w:hAnsi="Times New Roman" w:cs="Times New Roman"/>
                <w:bCs/>
                <w:sz w:val="24"/>
                <w:szCs w:val="24"/>
              </w:rPr>
              <w:t xml:space="preserve"> C</w:t>
            </w:r>
            <w:r w:rsidR="00962CB7" w:rsidRPr="00C657FF">
              <w:rPr>
                <w:rFonts w:ascii="Times New Roman" w:hAnsi="Times New Roman" w:cs="Times New Roman"/>
                <w:bCs/>
                <w:sz w:val="24"/>
                <w:szCs w:val="24"/>
              </w:rPr>
              <w:t xml:space="preserve">hain, logistique compétitive, </w:t>
            </w:r>
            <w:r w:rsidR="00BC744D" w:rsidRPr="00C657FF">
              <w:rPr>
                <w:rFonts w:ascii="Times New Roman" w:hAnsi="Times New Roman" w:cs="Times New Roman"/>
                <w:bCs/>
                <w:sz w:val="24"/>
                <w:szCs w:val="24"/>
              </w:rPr>
              <w:t>territoire, sécurité.</w:t>
            </w:r>
          </w:p>
        </w:tc>
      </w:tr>
    </w:tbl>
    <w:p w:rsidR="00B00021" w:rsidRDefault="00B00021" w:rsidP="00A52E09">
      <w:pPr>
        <w:rPr>
          <w:rFonts w:ascii="Times New Roman" w:hAnsi="Times New Roman" w:cs="Times New Roman"/>
          <w:b/>
          <w:sz w:val="28"/>
        </w:rPr>
      </w:pPr>
    </w:p>
    <w:p w:rsidR="00B00021" w:rsidRPr="007D5E9A" w:rsidRDefault="00B00021" w:rsidP="007D5E9A">
      <w:pPr>
        <w:spacing w:line="360" w:lineRule="auto"/>
        <w:jc w:val="both"/>
        <w:rPr>
          <w:rFonts w:ascii="Times New Roman" w:hAnsi="Times New Roman" w:cs="Times New Roman"/>
          <w:sz w:val="28"/>
        </w:rPr>
      </w:pPr>
      <w:r w:rsidRPr="007D5E9A">
        <w:rPr>
          <w:rFonts w:ascii="Times New Roman" w:hAnsi="Times New Roman" w:cs="Times New Roman"/>
          <w:sz w:val="28"/>
        </w:rPr>
        <w:t xml:space="preserve"> </w:t>
      </w:r>
    </w:p>
    <w:sectPr w:rsidR="00B00021" w:rsidRPr="007D5E9A" w:rsidSect="00B56C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05" w:rsidRDefault="000E4405" w:rsidP="00AB6001">
      <w:pPr>
        <w:spacing w:after="0" w:line="240" w:lineRule="auto"/>
      </w:pPr>
      <w:r>
        <w:separator/>
      </w:r>
    </w:p>
  </w:endnote>
  <w:endnote w:type="continuationSeparator" w:id="1">
    <w:p w:rsidR="000E4405" w:rsidRDefault="000E4405"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Roboto">
    <w:altName w:val="Times New Roman"/>
    <w:charset w:val="00"/>
    <w:family w:val="auto"/>
    <w:pitch w:val="default"/>
    <w:sig w:usb0="00000000" w:usb1="00000000" w:usb2="00000000" w:usb3="00000000" w:csb0="00000000" w:csb1="00000000"/>
  </w:font>
  <w:font w:name="Ubuntu">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05" w:rsidRDefault="000E4405" w:rsidP="00AB6001">
      <w:pPr>
        <w:spacing w:after="0" w:line="240" w:lineRule="auto"/>
      </w:pPr>
      <w:r>
        <w:separator/>
      </w:r>
    </w:p>
  </w:footnote>
  <w:footnote w:type="continuationSeparator" w:id="1">
    <w:p w:rsidR="000E4405" w:rsidRDefault="000E4405"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3652"/>
      <w:gridCol w:w="2835"/>
      <w:gridCol w:w="2268"/>
    </w:tblGrid>
    <w:tr w:rsidR="00276016" w:rsidRPr="00C657FF" w:rsidTr="00C657FF">
      <w:trPr>
        <w:trHeight w:val="578"/>
      </w:trPr>
      <w:tc>
        <w:tcPr>
          <w:tcW w:w="3652" w:type="dxa"/>
        </w:tcPr>
        <w:p w:rsidR="00276016" w:rsidRPr="00C657FF" w:rsidRDefault="00276016" w:rsidP="00C657FF">
          <w:pPr>
            <w:spacing w:after="0" w:line="276" w:lineRule="auto"/>
            <w:rPr>
              <w:rFonts w:ascii="Times New Roman" w:hAnsi="Times New Roman" w:cs="Times New Roman"/>
              <w:b/>
              <w:sz w:val="24"/>
            </w:rPr>
          </w:pPr>
          <w:r w:rsidRPr="00C657FF">
            <w:rPr>
              <w:rFonts w:ascii="Bahnschrift" w:hAnsi="Bahnschrift"/>
              <w:b/>
              <w:sz w:val="20"/>
            </w:rPr>
            <w:t>Colloque international de la logistique et du Supply Chain Management</w:t>
          </w:r>
        </w:p>
      </w:tc>
      <w:tc>
        <w:tcPr>
          <w:tcW w:w="2835" w:type="dxa"/>
          <w:vMerge w:val="restart"/>
        </w:tcPr>
        <w:p w:rsidR="00276016" w:rsidRPr="00C657FF" w:rsidRDefault="00BE4E4F" w:rsidP="00C657FF">
          <w:pPr>
            <w:spacing w:after="0" w:line="276" w:lineRule="auto"/>
            <w:jc w:val="center"/>
            <w:rPr>
              <w:rFonts w:ascii="Bahnschrift" w:hAnsi="Bahnschrift"/>
              <w:b/>
              <w:sz w:val="28"/>
            </w:rPr>
          </w:pPr>
          <w:r>
            <w:rPr>
              <w:rFonts w:ascii="Bahnschrift" w:hAnsi="Bahnschrift"/>
              <w:b/>
              <w:noProof/>
              <w:sz w:val="28"/>
              <w:lang w:eastAsia="fr-FR"/>
            </w:rPr>
            <w:drawing>
              <wp:inline distT="0" distB="0" distL="0" distR="0">
                <wp:extent cx="1009650" cy="561975"/>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2268" w:type="dxa"/>
          <w:vMerge w:val="restart"/>
        </w:tcPr>
        <w:p w:rsidR="00276016" w:rsidRPr="00C657FF" w:rsidRDefault="00BE4E4F" w:rsidP="00C657FF">
          <w:pPr>
            <w:spacing w:after="0" w:line="276" w:lineRule="auto"/>
            <w:jc w:val="right"/>
            <w:rPr>
              <w:rFonts w:ascii="Bahnschrift" w:hAnsi="Bahnschrift"/>
              <w:b/>
              <w:sz w:val="28"/>
            </w:rPr>
          </w:pPr>
          <w:r>
            <w:rPr>
              <w:rFonts w:ascii="Bahnschrift" w:hAnsi="Bahnschrift"/>
              <w:b/>
              <w:noProof/>
              <w:sz w:val="28"/>
              <w:lang w:eastAsia="fr-FR"/>
            </w:rPr>
            <w:drawing>
              <wp:inline distT="0" distB="0" distL="0" distR="0">
                <wp:extent cx="1114425" cy="628650"/>
                <wp:effectExtent l="19050" t="0" r="9525" b="0"/>
                <wp:docPr id="2"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EEE - Faire progresser la technologie pour l'humanitÃ©"/>
                        <pic:cNvPicPr>
                          <a:picLocks noChangeAspect="1" noChangeArrowheads="1"/>
                        </pic:cNvPicPr>
                      </pic:nvPicPr>
                      <pic:blipFill>
                        <a:blip r:embed="rId2"/>
                        <a:srcRect/>
                        <a:stretch>
                          <a:fillRect/>
                        </a:stretch>
                      </pic:blipFill>
                      <pic:spPr bwMode="auto">
                        <a:xfrm>
                          <a:off x="0" y="0"/>
                          <a:ext cx="1114425" cy="628650"/>
                        </a:xfrm>
                        <a:prstGeom prst="rect">
                          <a:avLst/>
                        </a:prstGeom>
                        <a:noFill/>
                        <a:ln w="9525">
                          <a:noFill/>
                          <a:miter lim="800000"/>
                          <a:headEnd/>
                          <a:tailEnd/>
                        </a:ln>
                      </pic:spPr>
                    </pic:pic>
                  </a:graphicData>
                </a:graphic>
              </wp:inline>
            </w:drawing>
          </w:r>
        </w:p>
      </w:tc>
    </w:tr>
    <w:tr w:rsidR="00276016" w:rsidRPr="00C657FF" w:rsidTr="00C657FF">
      <w:trPr>
        <w:trHeight w:val="577"/>
      </w:trPr>
      <w:tc>
        <w:tcPr>
          <w:tcW w:w="3652" w:type="dxa"/>
        </w:tcPr>
        <w:p w:rsidR="00276016" w:rsidRPr="00C657FF" w:rsidRDefault="00BE4E4F" w:rsidP="00C657FF">
          <w:pPr>
            <w:spacing w:after="0" w:line="240" w:lineRule="auto"/>
            <w:rPr>
              <w:rFonts w:ascii="Bahnschrift" w:hAnsi="Bahnschrift"/>
              <w:b/>
              <w:sz w:val="24"/>
            </w:rPr>
          </w:pPr>
          <w:r>
            <w:rPr>
              <w:rFonts w:ascii="Bahnschrift" w:hAnsi="Bahnschrift"/>
              <w:b/>
              <w:noProof/>
              <w:sz w:val="24"/>
              <w:lang w:eastAsia="fr-FR"/>
            </w:rPr>
            <w:drawing>
              <wp:inline distT="0" distB="0" distL="0" distR="0">
                <wp:extent cx="1276350" cy="361950"/>
                <wp:effectExtent l="19050" t="0" r="0" b="0"/>
                <wp:docPr id="3"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276016" w:rsidRPr="00C657FF" w:rsidRDefault="00276016" w:rsidP="00C657FF">
          <w:pPr>
            <w:spacing w:after="0" w:line="276" w:lineRule="auto"/>
            <w:rPr>
              <w:rFonts w:ascii="Bahnschrift" w:hAnsi="Bahnschrift"/>
              <w:b/>
              <w:sz w:val="28"/>
            </w:rPr>
          </w:pPr>
        </w:p>
      </w:tc>
      <w:tc>
        <w:tcPr>
          <w:tcW w:w="2268" w:type="dxa"/>
          <w:vMerge/>
        </w:tcPr>
        <w:p w:rsidR="00276016" w:rsidRPr="00C657FF" w:rsidRDefault="00276016" w:rsidP="00C657FF">
          <w:pPr>
            <w:spacing w:after="0" w:line="276" w:lineRule="auto"/>
            <w:rPr>
              <w:rFonts w:ascii="Bahnschrift" w:hAnsi="Bahnschrift"/>
              <w:b/>
              <w:sz w:val="28"/>
            </w:rPr>
          </w:pPr>
        </w:p>
      </w:tc>
    </w:tr>
  </w:tbl>
  <w:p w:rsidR="00AB6001" w:rsidRDefault="00AB60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2E09"/>
    <w:rsid w:val="000531CB"/>
    <w:rsid w:val="000C457A"/>
    <w:rsid w:val="000E4405"/>
    <w:rsid w:val="00276016"/>
    <w:rsid w:val="00335B83"/>
    <w:rsid w:val="00343B56"/>
    <w:rsid w:val="003D455F"/>
    <w:rsid w:val="00483F97"/>
    <w:rsid w:val="00522433"/>
    <w:rsid w:val="00526B47"/>
    <w:rsid w:val="006732CB"/>
    <w:rsid w:val="006A42C0"/>
    <w:rsid w:val="0074395A"/>
    <w:rsid w:val="007D5E9A"/>
    <w:rsid w:val="007D61E2"/>
    <w:rsid w:val="00962CB7"/>
    <w:rsid w:val="009E2303"/>
    <w:rsid w:val="00A21F69"/>
    <w:rsid w:val="00A52E09"/>
    <w:rsid w:val="00A74DCE"/>
    <w:rsid w:val="00AB6001"/>
    <w:rsid w:val="00B00021"/>
    <w:rsid w:val="00B56C44"/>
    <w:rsid w:val="00BC744D"/>
    <w:rsid w:val="00BE4E4F"/>
    <w:rsid w:val="00C002F4"/>
    <w:rsid w:val="00C657FF"/>
    <w:rsid w:val="00D9236C"/>
    <w:rsid w:val="00E02FAA"/>
    <w:rsid w:val="00F113BC"/>
    <w:rsid w:val="00FE4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character" w:styleId="Lienhypertexte">
    <w:name w:val="Hyperlink"/>
    <w:basedOn w:val="Policepardfaut"/>
    <w:uiPriority w:val="99"/>
    <w:unhideWhenUsed/>
    <w:rsid w:val="009E230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nelhaou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Links>
    <vt:vector size="6" baseType="variant">
      <vt:variant>
        <vt:i4>7995481</vt:i4>
      </vt:variant>
      <vt:variant>
        <vt:i4>0</vt:i4>
      </vt:variant>
      <vt:variant>
        <vt:i4>0</vt:i4>
      </vt:variant>
      <vt:variant>
        <vt:i4>5</vt:i4>
      </vt:variant>
      <vt:variant>
        <vt:lpwstr>mailto:znelhaoud@gmail.com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3</cp:revision>
  <dcterms:created xsi:type="dcterms:W3CDTF">2018-10-15T07:35:00Z</dcterms:created>
  <dcterms:modified xsi:type="dcterms:W3CDTF">2018-10-22T18:06:00Z</dcterms:modified>
</cp:coreProperties>
</file>